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0" w:right="18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80" w:line="276" w:lineRule="auto"/>
        <w:ind w:left="0" w:right="18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CONTRATO DE PRESTAÇÃO DE SERVIÇO DE ARMAZENAGEM/RESERVA DE ESPAÇO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80" w:line="276" w:lineRule="auto"/>
        <w:ind w:left="0" w:right="181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3969" w:right="1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CONTRATO QUE ENTRE SI CELEBRAM O INSTITUTO DE DESENVOLVIMENTO RURAL DO PARANÁ – IAPAR – EMATER E O(A)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PRESTAÇÃO DE SERVIÇO DE ARMAZENAGEM/RESERVA DE ESPAÇO – LEI FEDERAL Nº 9.973/2000 E DECRETO FEDERAL Nº 3.855/2001.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3969" w:right="1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80" w:line="276" w:lineRule="auto"/>
        <w:ind w:left="0" w:right="181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119" w:right="18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Nota Explicativa nº 01</w:t>
      </w:r>
      <w:bookmarkStart w:colFirst="0" w:colLast="0" w:name="bookmark=id.ht7a9ttgonx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9" w:right="1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(Obs. As notas explicativas são meramente orientativas. Portanto, devem ser excluídas da minuta a ser assinada)</w:t>
      </w:r>
      <w:bookmarkStart w:colFirst="0" w:colLast="0" w:name="bookmark=id.une61z4t2g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9" w:right="1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1.1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Esta minuta padronizada integra a categoria Minutas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Objeto Definido, a qual dispensa a remessa para manifestação jurídica do órgão ou setor competente, nos termos do artigo 5º do Decreto nº 3.203/2015, e do artigo 8º, §§ 4º e 6º, da Resolução nº 41/2016-PGE.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9" w:right="1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1.2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Qualquer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úvida a respeito do enquadramento legal de determinada situação deve ser objeto de prévia consulta à Procuradoria-Geral do Estado antes da utilização da presente minuta padronizada.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76" w:lineRule="auto"/>
        <w:ind w:left="142" w:right="6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80" w:line="276" w:lineRule="auto"/>
        <w:ind w:left="119" w:right="18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O INSTITUTO DE DESENVOLVIMENTO RURAL DO PARANÁ – IAPAR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EMATER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instituição autárquica, integrante da Administração Pública Indireta do Estado do Paraná, vinculad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à Secretaria de Estado da Agricultura e do Abastecimento - SEAB, criad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pela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ei nº 20.121, de 31 de dezembro de 2019, inscrit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no CNPJ sob n.º 75.234.757/0001-49, com sede na rua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nº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bairro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CEP nº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Curitiba-PR, representado pelo seu Diretor(a) Presidente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inscrito(a) no CPF sob o nº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portador(a) do RG nº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doravante denominado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e 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inscrito(a) no CNPJ sob o nº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com sede na rua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CEP nº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município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representado(a) por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inscrito(a) no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 sob o nº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portador(a) do RG nº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 doravante denominado(a)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com fundamento na Lei Federal nº 9.973, de 29 de maio de 2000, no Decreto Federal nº 3.855, de 03 de julho de 2001 e na Lei nº 20.121,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de 2019, resolvem celebrar o presente contrato, mediante cláusulas e condições estabelecidas.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80" w:line="276" w:lineRule="auto"/>
        <w:ind w:left="119" w:right="181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119" w:right="18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Nota Explicativa nº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9" w:right="1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(Obs. As notas explicativas são meramente orientativas. Portanto, devem ser excluídas da minuta a ser assinada)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9" w:right="18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Na hipótese de o(a) CONTRATANTE ser pessoa física, a redação deve ser substituída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auto" w:val="clear"/>
        <w:spacing w:after="200" w:before="0" w:line="276" w:lineRule="auto"/>
        <w:ind w:left="1191" w:right="17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“O INSTITUTO DE DESENVOLVIMENTO RURAL DO PARANÁ – IAPAR-EMATER, instituição autárquica, integrante da Administração Pública Indireta do Estado do Paraná, vinculad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à Secretaria de Estado da Agricultura e do Abastecimento - SEAB, criada pela lei 20.121 de 2019, inscrit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no CNPJ sob n.º 75.234.757/0001-49, com sede na rua XXXXX, nº XXXXX, bairro XXXXX, CEP nº XXXXX, Curitiba-PR, representado pelo seu Diretor(a) Presidente 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inscrito no CPF sob o 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portador(a) do RG 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doravante denominado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, e o(a)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inscrito(a) no CPF sob o 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portador(a) do RG 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domiciliado(a) na rua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CEP nº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município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doravante denominado(a)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,  com fundamento na Lei Federal nº 9.973, de 29 de maio de 2000, no Decreto Federal nº 3.855, de 03 de julho de 2001 e na Lei Estadual nº 20.121, de 31 de dezembro de 2019, resolvem celebrar o presente contrato, mediante cláusulas e condições estabelecidas.”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Arial" w:cs="Arial" w:eastAsia="Arial" w:hAnsi="Arial"/>
          <w:b w:val="1"/>
          <w:i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PRIMEIRA: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Constitui objeto do presente Contrato, a prestação de serviços de recepção, armazenagem e expedição de aproximadamente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(preencher com o tipo de produto e peso),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doravante denominado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PRODUTO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a ser realizado pel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na Unidade Armazenadora, situada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(preencher com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 completo)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O recebimento estará sujeito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 disponibilidade de espaço e, caso não ocorra o recebimento da quantidade acima informada, o volume faltante não será taxado. Entretanto,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poderá ceder o espaço para o recebimento de produtos de outros clientes.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1.4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este instrumento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reserva espaço para o depósito de produtos nos silos da Unidade Armazenadora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situada 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CLÁUSULA SEGUNDA: DO FUNDAMENTO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28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O presente contrato será regido pela legislação brasileira de armazenagem, Lei Federal nº 9.973/2000, Decreto Federal nº 3.855/2001 e pelo Código Civil Brasileiro - Lei Federal nº 10.406/2002.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CLÁUSULA TERCEIRA: DO PRAZO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O pra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 de vigência do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presente Contrato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 de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(dias/meses)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 início em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XX/XX/XX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término em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XX/XX/XX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O presente instrumento poderá ser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prorrogado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desde que acordado entre as partes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manifestação expressa com antecedência mínima de 30 dias da data prevista para seu fim, mediante Termo Aditivo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QUARTA: DO PR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PRODUTO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ser estocado é da safra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4.2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receber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armazenagem/reserva de espaço,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fará a sua conferência e análise a fim de estabelecer sua efetiva qualidade e peso, prevalecendo sempre os resultados verificados na unidade armazenadora. </w:t>
      </w:r>
    </w:p>
    <w:p w:rsidR="00000000" w:rsidDel="00000000" w:rsidP="00000000" w:rsidRDefault="00000000" w:rsidRPr="00000000" w14:paraId="0000001F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4.2.1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ocasião da recepção, será elaborada Planilha contendo os referidos dados, sendo facultado ao(à)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acompanhamento do recebimento e avaliação.</w:t>
      </w:r>
    </w:p>
    <w:p w:rsidR="00000000" w:rsidDel="00000000" w:rsidP="00000000" w:rsidRDefault="00000000" w:rsidRPr="00000000" w14:paraId="00000020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 unidades armazenadoras emitirão comprovante de dep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ósito com numeração sequencia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 em que constem, no mínimo, os seguintes dados: a identificação do depositante e do depositário, a especificação do produto, seu peso líquido e bruto, sua qualidade, a forma de acondicionamento, o número de volumes ou fardos, o endereço onde se encontra depositado, o valor dos serviços de armazenagem e a periodicidade de sua cobrança.</w:t>
      </w:r>
    </w:p>
    <w:p w:rsidR="00000000" w:rsidDel="00000000" w:rsidP="00000000" w:rsidRDefault="00000000" w:rsidRPr="00000000" w14:paraId="00000021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4.3.1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comprovante previsto no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deste artigo deverá mencionar que o depósito sujeita-se ao disposto na Lei Federal nº 9.973/2000 e no Decreto Federal nº 3.855/2001.</w:t>
      </w:r>
    </w:p>
    <w:p w:rsidR="00000000" w:rsidDel="00000000" w:rsidP="00000000" w:rsidRDefault="00000000" w:rsidRPr="00000000" w14:paraId="00000022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4.3.2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comprovante será restituído ao depositário por ocasião da entrega da mercadoria, ou quando de sua substituição por outros títulos que venham a ser emitidos.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4.4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a movimentação 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utilizará Notas Fiscais de ‘Remessa para Depósito’ ou ‘Devolução de Remessa’, conforme o caso, onde se descreverá a quantidade, qualidade e demais características.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39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QU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DAS TARIFAS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Pelos serviços ora contratados 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pagará ao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as seguintes tarifas, calculadas por tonelada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PRODUTO,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conforme a Portaria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XXXXX/20XX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.1.1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recepção: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expedição: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armazenagem: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.1.4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ad valorem:</w:t>
      </w:r>
      <w:r w:rsidDel="00000000" w:rsidR="00000000" w:rsidRPr="00000000">
        <w:rPr>
          <w:rFonts w:ascii="Arial" w:cs="Arial" w:eastAsia="Arial" w:hAnsi="Arial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b w:val="1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hd w:fill="auto" w:val="clear"/>
        <w:spacing w:after="200" w:before="166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movimentação de equipamentos para expurgo ou tratamento na correia: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carga /descarga: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.1.6.1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carga / des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carga: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caso seja executado pelo(a)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não será cobrado tarifa;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b)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caso seja executado por terceiros indicados pelo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CONTRATADO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será cobrado 10% (dez por cento)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sobre o valor tota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.1.7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limpeza: até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%: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hd w:fill="auto" w:val="clear"/>
        <w:spacing w:after="200" w:before="171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.1.8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li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mpeza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acima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%: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hd w:fill="auto" w:val="clear"/>
        <w:spacing w:after="200" w:before="52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.1.9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transbordo: R$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</w:p>
    <w:p w:rsidR="00000000" w:rsidDel="00000000" w:rsidP="00000000" w:rsidRDefault="00000000" w:rsidRPr="00000000" w14:paraId="00000030">
      <w:pPr>
        <w:widowControl w:val="1"/>
        <w:shd w:fill="auto" w:val="clear"/>
        <w:spacing w:after="200" w:before="52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Nota explicativa nº 03:</w:t>
      </w:r>
    </w:p>
    <w:p w:rsidR="00000000" w:rsidDel="00000000" w:rsidP="00000000" w:rsidRDefault="00000000" w:rsidRPr="00000000" w14:paraId="00000031">
      <w:pPr>
        <w:widowControl w:val="1"/>
        <w:shd w:fill="auto" w:val="clear"/>
        <w:spacing w:after="200" w:before="52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(Obs. As notas explicativas são meramente orientativas. Portanto, devem ser excluídas da minu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ta a ser assinada)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hd w:fill="auto" w:val="clear"/>
        <w:spacing w:after="200" w:before="52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Os serviços listados possuem caráter meramente exemplificativo, facultando-se ao IDR a inserção/exclusão de serviços em conformidade com a Portaria vigente.</w:t>
      </w:r>
    </w:p>
    <w:p w:rsidR="00000000" w:rsidDel="00000000" w:rsidP="00000000" w:rsidRDefault="00000000" w:rsidRPr="00000000" w14:paraId="00000033">
      <w:pPr>
        <w:spacing w:after="200" w:before="228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uebra Técnica: 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É a perda de peso dos produtos armazenados devido à atividade fisiológica e movimentação dos grãos cujo índice de desconto deverá ser aplicado mensalmente.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228" w:line="276" w:lineRule="auto"/>
        <w:ind w:left="0" w:firstLine="0"/>
        <w:jc w:val="both"/>
        <w:rPr>
          <w:rFonts w:ascii="Arial" w:cs="Arial" w:eastAsia="Arial" w:hAnsi="Arial"/>
          <w:color w:val="1f1f1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22"/>
          <w:szCs w:val="22"/>
          <w:rtl w:val="0"/>
        </w:rPr>
        <w:t xml:space="preserve">5.2.1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  Não haverá desconto sobre o produto depositado, salvo em caso de falta comprovada de produto, mediante realização de perícia para apuração da causa. A tolerância para quebra técnica é de até 0,30% ao mês sobre a quantidade total depositada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00" w:before="228" w:line="276" w:lineRule="auto"/>
        <w:ind w:left="0" w:firstLine="0"/>
        <w:jc w:val="both"/>
        <w:rPr>
          <w:rFonts w:ascii="Arial" w:cs="Arial" w:eastAsia="Arial" w:hAnsi="Arial"/>
          <w:color w:val="1f1f1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22"/>
          <w:szCs w:val="22"/>
          <w:rtl w:val="0"/>
        </w:rPr>
        <w:t xml:space="preserve">5.2.2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 No caso de quebra técnica superior à 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0,30% ao mês sobre a quantidade total depositada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rtl w:val="0"/>
        </w:rPr>
        <w:t xml:space="preserve">, as consequências estão descritas na Subcláusula 7.2.3.4 e serão aplicados sobre o excedente.</w:t>
      </w:r>
    </w:p>
    <w:p w:rsidR="00000000" w:rsidDel="00000000" w:rsidP="00000000" w:rsidRDefault="00000000" w:rsidRPr="00000000" w14:paraId="00000036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.3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erá efetuado o controle de umidade por ocasião da entrada e o embarque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PRODUTO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com finalidade de conservação e contabilização para cálculo de perdas de peso originário do decréscimo de umidade durante o período de armazenamento;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.3.1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fica convencionado através do presente os parâmetros de recebimento para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.3.1.1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umidade: máximo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.3.1.2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impureza: máximo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.4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ncontram-se inclusos no preço dos serviços ora contratados todos os custos havidos, assim como todos os tributos (impostos e taxas) incidentes.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.5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s faturamentos serão realizados sempre no 1º dia útil de cada mês subsequente, referente aos serviços prestados no período correspondente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mês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.6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s pagamentos das faturas deverão ser realizados até o dia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de cada mês.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before="166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5.7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Ocorrendo atraso no pagamento, e desde que não tenha havido atrasos na entrega das faturas, considera-se em mora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200" w:before="166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5.7.1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Responde o(a)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CONTRATANTE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pelos prejuízos a que sua mora der causa, mais juros e atualização monetária mensal, calculados com base na taxa referencial do Sistema Especial de Liquidação e de Custódia (SELIC), acumulada mensalmente, até o último dia do mês anterior ao do pagamento, e de 1% (um por cento) no mês de recolhimento, de cláusula penal de 2% (dois por cento) e honorários de advogado de 20% (vinte por cento) sobre o débito.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166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5.7.2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em mora responde pela impossibilidade da prestação, embora essa impossibilidade resulte de caso fortuito ou de força maior, se estes ocorrerem durante o atraso, salvo se provar isenção de culpa, ou que o dano sobreviria ainda que a obrigação fosse oportunamente desempenhada.</w:t>
      </w:r>
    </w:p>
    <w:p w:rsidR="00000000" w:rsidDel="00000000" w:rsidP="00000000" w:rsidRDefault="00000000" w:rsidRPr="00000000" w14:paraId="00000040">
      <w:pPr>
        <w:spacing w:after="200" w:before="166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5.7.3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purga a mora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realizando o pagamento da obrigação principal acrescida das obrigações descritas na subcláusula 5.7.1.</w:t>
      </w:r>
    </w:p>
    <w:p w:rsidR="00000000" w:rsidDel="00000000" w:rsidP="00000000" w:rsidRDefault="00000000" w:rsidRPr="00000000" w14:paraId="00000041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5.8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tem o direito de retenção de produtos depositados, até o limite dos valores correspondentes, para garantia do pagamento de:</w:t>
      </w:r>
    </w:p>
    <w:p w:rsidR="00000000" w:rsidDel="00000000" w:rsidP="00000000" w:rsidRDefault="00000000" w:rsidRPr="00000000" w14:paraId="00000042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5.8.1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armazenagem, despesas tarifárias e eventuais prejuízos;</w:t>
      </w:r>
    </w:p>
    <w:p w:rsidR="00000000" w:rsidDel="00000000" w:rsidP="00000000" w:rsidRDefault="00000000" w:rsidRPr="00000000" w14:paraId="00000043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5.8.2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adiantamentos feitos com fretes, seguros e demais despesas e serviços, desde que devidamente autorizados, por escrito, pelo depositante; e</w:t>
      </w:r>
    </w:p>
    <w:p w:rsidR="00000000" w:rsidDel="00000000" w:rsidP="00000000" w:rsidRDefault="00000000" w:rsidRPr="00000000" w14:paraId="00000044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5.8.3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comissões, custos de cobrança e outros encargos, relativos a operação com mercadorias depositadas.</w:t>
      </w:r>
    </w:p>
    <w:p w:rsidR="00000000" w:rsidDel="00000000" w:rsidP="00000000" w:rsidRDefault="00000000" w:rsidRPr="00000000" w14:paraId="00000045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5.9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O direito de retenção poderá ser oposto à massa falida do devedor.</w:t>
      </w:r>
    </w:p>
    <w:p w:rsidR="00000000" w:rsidDel="00000000" w:rsidP="00000000" w:rsidRDefault="00000000" w:rsidRPr="00000000" w14:paraId="00000046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5.10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 direito de retenção não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poderá ser exercido quando existir débito perante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decorrente de contrato de depósito, em montante igual ou superior ao dos créditos relativos aos serviços prestados.</w:t>
      </w:r>
    </w:p>
    <w:p w:rsidR="00000000" w:rsidDel="00000000" w:rsidP="00000000" w:rsidRDefault="00000000" w:rsidRPr="00000000" w14:paraId="00000047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5.11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Na hipótese de inadimplência persistir por mais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(preencher com o prazo)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 faculta-se ao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CONTRATADO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promover leilão ou descarte do produto.</w:t>
      </w:r>
    </w:p>
    <w:p w:rsidR="00000000" w:rsidDel="00000000" w:rsidP="00000000" w:rsidRDefault="00000000" w:rsidRPr="00000000" w14:paraId="00000048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5.11.1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Se o valor obtido no leilão não for suficiente para a quitação da dívida, poderá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ajuizar ação de cobrança pelo saldo remanescente.</w:t>
      </w:r>
    </w:p>
    <w:p w:rsidR="00000000" w:rsidDel="00000000" w:rsidP="00000000" w:rsidRDefault="00000000" w:rsidRPr="00000000" w14:paraId="00000049">
      <w:pPr>
        <w:spacing w:after="200" w:before="114"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5.11.2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Caso o montante apurado no leilão seja superior ao valor da dívida, o excedente deverá ser restituído ao(à)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prestação de serviços será executada em horário normal de expediente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ou seja, das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às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horas e das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às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horas, de segunda a sexta feira.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Os preços dos serviços ora contratados são para execução dentro do horário normal de expediente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. Caso haja a realização de serviços fora desses horários, haverá majoração dos valores, conforme: de segunda a sexta-feira e sábados, acréscimo de 50% (cinquenta por cento); domingos e feriados acréscimos de 100% (cem por cento).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onforme Lei Complementar Fe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deral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nº 116, de 31 de julho de 2003,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recolherá mensalmente o</w:t>
      </w:r>
      <w:r w:rsidDel="00000000" w:rsidR="00000000" w:rsidRPr="00000000">
        <w:rPr>
          <w:rFonts w:ascii="Arial" w:cs="Arial" w:eastAsia="Arial" w:hAnsi="Arial"/>
          <w:color w:val="001d35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d35"/>
          <w:sz w:val="22"/>
          <w:szCs w:val="22"/>
          <w:highlight w:val="white"/>
          <w:rtl w:val="0"/>
        </w:rPr>
        <w:t xml:space="preserve">Imposto Sobre Serviços de Qualquer Natureza (ISS)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incidente sobre os serviços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prestados, obrigando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-se a apresentar os comprovantes do recolhimento sempre que solicitado.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O tratamento para controle de insetos pragas de grãos armazenados (expurgo) se necessário, será executado pel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podendo inclusive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valer-se da contratação de terceiros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. havendo necessidade de transilagem para execução dos serviços será cobrada taxa conforme item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.1.5 deste contrato (Movimentação de equipamentos para expurgo ou tratamento na correia).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widowControl w:val="0"/>
        <w:numPr>
          <w:ilvl w:val="0"/>
          <w:numId w:val="1"/>
        </w:numPr>
        <w:spacing w:after="200" w:before="114" w:line="276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SEXTA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 DO REAJUSTE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Os valores sobre serviços acordados na Cláusula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Quinta serão atualizados pela Portaria expedida pelo IDR. </w:t>
      </w:r>
    </w:p>
    <w:p w:rsidR="00000000" w:rsidDel="00000000" w:rsidP="00000000" w:rsidRDefault="00000000" w:rsidRPr="00000000" w14:paraId="00000051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6.1.1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Caso a referida Portaria não seja atualizada em 12 (doze) meses, os valores sobre os serviços s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ofrerão alterações pelo IPCA (Índice de Preços ao Consumidor)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00" w:before="52"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Nota explicativa nº 04:</w:t>
      </w:r>
    </w:p>
    <w:p w:rsidR="00000000" w:rsidDel="00000000" w:rsidP="00000000" w:rsidRDefault="00000000" w:rsidRPr="00000000" w14:paraId="00000053">
      <w:pPr>
        <w:spacing w:after="200" w:before="52"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(Obs. As notas explicativas são meramente orientativas. Portanto, devem ser excluídas da minu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ta a ser assinada)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before="52" w:line="276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4.1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Na hipótese da Portaria não ser atualizada em 12 (doze) meses, poderão ser adotados outros índices para a atualização dos valores sobre serviços a depender do tipo de produto armazenado, devendo ser adotada a seguinte redação para a subcláusula 6.1.1:</w:t>
      </w:r>
    </w:p>
    <w:p w:rsidR="00000000" w:rsidDel="00000000" w:rsidP="00000000" w:rsidRDefault="00000000" w:rsidRPr="00000000" w14:paraId="00000055">
      <w:pPr>
        <w:spacing w:after="200" w:before="52" w:line="276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6.1.1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Caso a referida Portaria não seja atualizada em 12 (doze) meses, os valores sobre os serviços sofrerão alterações pelo XXXXX (completar com o índice adotado)”.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ÉTIMA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Ao(À)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caberá: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.1.1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realizar o pagamento das tarifas 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prazos estabelecidos no contrat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.1.2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bservar e cumprir os dispositivos constantes das Condições Gerais  para ambiente Natural 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bem como a legislação de armazenagem;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.1.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responder por furtos, roubos e danos causados por seus funcionários e/ou prepostos, inclusive a produtos de terceiros e a seus próprios, em decorrência da movimentação de produto nas dependências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.1.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garantir a segurança de empregados e/ou prepostos sob sua responsabilidade, respondendo por acidentes de trabalho, assistência médica, todos os direitos trabalhistas e demais encargos decorrentes de operações sob sua condução;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7.1.5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celebrar contrato de seguro com a finalidade de assegurar a cobertura dos produtos armazenados contra riscos de incêndio, inundação e demais intempéries que possam ocasionar sua destruição ou deterioração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1"/>
        </w:numPr>
        <w:shd w:fill="auto" w:val="clear"/>
        <w:spacing w:after="200" w:before="114"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 direito de acess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ao local de depósito, exclusivamente no horário de expediente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para verificar as condições de guarda e conservação de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before="114" w:line="276" w:lineRule="auto"/>
        <w:ind w:lef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caberá: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.2.1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isponibilizar o espaço físico necessário ao armazenamento do produto de propriedade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zelando pela sua fiel conservação e guarda;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hd w:fill="auto" w:val="clear"/>
        <w:spacing w:after="20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.2.2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umprir e fazer cumprir seus normativos e a legislação específica de armazenagem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.2.3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se responsabilizar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 pela guarda, conservação da qualidade e da q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uantidade, e pela pronta e fiel entrega dos produtos que tiver recebido em depósito, na forma prevista neste contrato de depósito, inclusive em caso de avaria, de vícios provenientes da natureza e do acondicionamento dos produtos;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vertAlign w:val="baseline"/>
          <w:rtl w:val="0"/>
        </w:rPr>
        <w:t xml:space="preserve">.2.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 responde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 por culpa ou dolo de seus empregados ou prepostos, pelos furtos, roubos e sinistros ocorridos com os produtos depositados, bem como pelos danos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decorrentes de seu manuseio inadequado, na forma da legislação específica;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shd w:fill="aadcf7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7.2.3.2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não responderá por danos decorrentes de caso fortuito ou força maior.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vertAlign w:val="baseline"/>
          <w:rtl w:val="0"/>
        </w:rPr>
        <w:t xml:space="preserve">.2.3.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highlight w:val="white"/>
          <w:vertAlign w:val="baseline"/>
          <w:rtl w:val="0"/>
        </w:rPr>
        <w:t xml:space="preserve">s indenizações decorrentes deverão observar o contido neste contrato de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highlight w:val="white"/>
          <w:vertAlign w:val="baseline"/>
          <w:rtl w:val="0"/>
        </w:rPr>
        <w:t xml:space="preserve">depósito e a legislação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highlight w:val="white"/>
          <w:vertAlign w:val="baseline"/>
          <w:rtl w:val="0"/>
        </w:rPr>
        <w:t xml:space="preserve">.2.3.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highlight w:val="white"/>
          <w:vertAlign w:val="baseline"/>
          <w:rtl w:val="0"/>
        </w:rPr>
        <w:t xml:space="preserve">s indenizações deverão efetivar-se no prazo máximo de 30 (trinta) dias, contados a partir da comunicação formal de qualquer das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vertAlign w:val="baseline"/>
          <w:rtl w:val="0"/>
        </w:rPr>
        <w:t xml:space="preserve">.2.3.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 as indenizações d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everão ser realizadas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produto da mesma espécie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hd w:fill="auto" w:val="clear"/>
        <w:spacing w:after="20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7.2.4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prestar informações, quando autorizado pelo depositante, sobre a emissão de títulos representativos do produto em fase de venda e sobre a existência de débitos que possam onerar o produt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o;</w:t>
      </w:r>
    </w:p>
    <w:p w:rsidR="00000000" w:rsidDel="00000000" w:rsidP="00000000" w:rsidRDefault="00000000" w:rsidRPr="00000000" w14:paraId="00000068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OITAVA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 CAPACIDADE DE RECEBIMENTO E EXPEDIÇÃO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before="0" w:line="276" w:lineRule="auto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estabelece para o produto objeto deste Contrato a recepção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toneladas/hora e a de expedição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toneladas/hora, de acordo com cronograma que fixará, ao qual se submeterá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NONA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ALIENAÇÃO DO ARMAZÉM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Em caso de alienação do armazém objeto do presente instrumento,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comunicará 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(à)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acerca das condições da Concorrência, da qual poderá participar em igualdade de condições, se for de seu interesse.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não logre êxito no certame ou não tiver interesse na alienação, será mantido o prazo de vigência contratual estabelecido na Cláusula Terceira deste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DÉCIMA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DA COMUNICAÇÃO EM CASO DE SINISTRO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Em caso de sinistro, caberá ao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comunicar o fato imediatamente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ao(à)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bem como fornecer todos os documentos que se fizerem necessários à sua regularização e/ou exigidos pela Companhia Seguradora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no prazo máximo de 05 (cinco) dias úteis, viabilizando a instauração do processo indenizatório em tempo hábil.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before="35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PRIMEIRA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DA RESPONSABILIDADE SUCESSÓRIA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Pelo presente obrigam-se, não só as partes, como também seus legais sucessores.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before="35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SEGUNDA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 DO GESTOR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Fica estabelecido como Gestor deste contrato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, inscrito no CPF sob o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 e portador do 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, responsável pela Unidade Armazenadora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, que será o responsável pelo acompanhamento, fiscalização e pela prática de todos atos inerentes à execução do presente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TERCEIRA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DO TERMO ADITIVO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before="228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Qualquer alteração nas cláusulas e condições ajustadas neste Contrato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somente terá efeito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se realizada através de aditivo ao presente instrumento, firmado por todas 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QUARTA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 DA EXTINÇÃO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O contrato poderá ser rescindido de pleno direito mediante notificação, interpelação judicial ou extrajudicial na hipótese de ocorrência nas seguintes situações: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.1.1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mediante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acordo entre as partes, formalizadas por meio de distrato, ficando 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obrigad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ao pagamento dos serviços prestados até a remoção total do de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positado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.1.2 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descumprimentos de quaisquer das cláusulas e/ou condições constantes deste Contrato;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shd w:fill="auto" w:val="clear"/>
        <w:spacing w:after="200" w:before="114" w:line="276" w:lineRule="auto"/>
        <w:ind w:left="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.1.3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cometimentos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reiterados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de faltas pelo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na execução dos serviços, especialmente com relação à guarda e conservação 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vertAlign w:val="baseline"/>
          <w:rtl w:val="0"/>
        </w:rPr>
        <w:t xml:space="preserve">PRODUTO</w:t>
      </w: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 armazenado.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QUINTA:</w:t>
      </w:r>
      <w:r w:rsidDel="00000000" w:rsidR="00000000" w:rsidRPr="00000000">
        <w:rPr>
          <w:rFonts w:ascii="Arial" w:cs="Arial" w:eastAsia="Arial" w:hAnsi="Arial"/>
          <w:b w:val="1"/>
          <w:strike w:val="0"/>
          <w:color w:val="000000"/>
          <w:sz w:val="22"/>
          <w:szCs w:val="22"/>
          <w:vertAlign w:val="baseline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presente Contrato é celebrado em caráter irrevogável e irretratável, obrigando as partes e sucessores, constituindo-se em título executivo extrajudicial, nos termos do artigo 784, III, do Código de Processo Civil - lei 13.105 de 16 de março de 2.015.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poderá ceder total ou parcialmente o presente Contrato, desde que o faça expressamente e por escrito notificando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que se obrigará, nos termos deste Contrato, perante o beneficiário da 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Qualquer aviso, notificação ou comunicação entre as partes será procedida por escrit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através de carta registrada, ou e-mail direcionado às partes e endereços aqui mencionados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7E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yellow"/>
            <w:u w:val="single"/>
            <w:rtl w:val="0"/>
          </w:rPr>
          <w:t xml:space="preserve">xxxxxxxx@xxxxx.xxx.xx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ab/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yellow"/>
            <w:u w:val="single"/>
            <w:rtl w:val="0"/>
          </w:rPr>
          <w:t xml:space="preserve">xxxxxxxx@xxxxx.xxx.xx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ab/>
      </w:r>
    </w:p>
    <w:p w:rsidR="00000000" w:rsidDel="00000000" w:rsidP="00000000" w:rsidRDefault="00000000" w:rsidRPr="00000000" w14:paraId="0000007F">
      <w:pPr>
        <w:spacing w:after="200" w:before="52"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Nota explicativa nº 05:</w:t>
      </w:r>
    </w:p>
    <w:p w:rsidR="00000000" w:rsidDel="00000000" w:rsidP="00000000" w:rsidRDefault="00000000" w:rsidRPr="00000000" w14:paraId="00000080">
      <w:pPr>
        <w:spacing w:after="200" w:before="52" w:line="276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(Obs. As notas explicativas são meramente orientativas. Portanto, devem ser excluídas da minu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ta a ser assinada)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0" w:before="114" w:line="276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5.1. Os campos destacado devem ser preenchidos com o endereço de e-mail, por meio do qual as os avisos, notificações e comunicações serão efetuados:</w:t>
      </w:r>
    </w:p>
    <w:p w:rsidR="00000000" w:rsidDel="00000000" w:rsidP="00000000" w:rsidRDefault="00000000" w:rsidRPr="00000000" w14:paraId="00000082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.4 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nulidade ou inaplicabilidade de qualquer disposição ou cláusula deste Contrato não afeta nem invalida as demais, permanecendo válidos e aplicáveis os demais termos e disposições deste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before="11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As partes declaram que estão comprometidas a conduzir seus negócios com integridade e em conformidade às leis vigentes, evitando as práticas ilegais entre elas fraude, falsificação, lavagem de dinheiro,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.6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garante zelar pelo bom nome comercial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 abster-se da prática de atos que possam prejudicar a reputação dela. Em caso de uso indevido do nome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de marca, termo ou expressão vinculados direta ou indiretamente a el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a, responderá pelas perdas e danos daí decorrentes.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00" w:before="354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CLÁUSULA DÉCIMA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SEXTA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Elegem as partes, o Foro Central da Comarca da Região Metropolitana de Curitiba para nele serem dirimidas todas as dúvidas porventura resultantes do presente instrumento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before="12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 de como se acham justas, assinam o presente instrumento em duas vias de igual teor e uma só forma, junto a 02 testemunhas abaixo arroladas.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spacing w:after="20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Curitiba, ____de __________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CONTRATADO: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Desenvolvimento Rural do Paraná – IAPAR-EMATER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 Presidente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000"/>
      </w:tblPr>
      <w:tblGrid>
        <w:gridCol w:w="4095"/>
        <w:gridCol w:w="30"/>
        <w:gridCol w:w="480"/>
        <w:gridCol w:w="900"/>
        <w:gridCol w:w="3840"/>
        <w:tblGridChange w:id="0">
          <w:tblGrid>
            <w:gridCol w:w="4095"/>
            <w:gridCol w:w="30"/>
            <w:gridCol w:w="480"/>
            <w:gridCol w:w="900"/>
            <w:gridCol w:w="3840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1"/>
              <w:widowControl w:val="0"/>
              <w:numPr>
                <w:ilvl w:val="0"/>
                <w:numId w:val="1"/>
              </w:numPr>
              <w:spacing w:after="20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i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baseline"/>
                <w:rtl w:val="0"/>
              </w:rPr>
              <w:t xml:space="preserve">Gestor do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spacing w:after="200"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spacing w:after="200"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CONTRATANTE:</w:t>
            </w:r>
          </w:p>
          <w:p w:rsidR="00000000" w:rsidDel="00000000" w:rsidP="00000000" w:rsidRDefault="00000000" w:rsidRPr="00000000" w14:paraId="000000A1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spacing w:after="200" w:before="102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00" w:before="102" w:line="276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spacing w:after="200" w:before="102" w:line="276" w:lineRule="auto"/>
              <w:ind w:left="72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00" w:before="102" w:line="276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spacing w:after="200" w:line="276" w:lineRule="auto"/>
              <w:ind w:left="72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Representante(s) Legal(is)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spacing w:after="200" w:line="276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200" w:before="280" w:line="276" w:lineRule="auto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spacing w:after="200" w:before="280"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ab/>
        <w:t xml:space="preserve">TESTEMUNHAS: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5.0" w:type="dxa"/>
        <w:tblLayout w:type="fixed"/>
        <w:tblLook w:val="0000"/>
      </w:tblPr>
      <w:tblGrid>
        <w:gridCol w:w="4333"/>
        <w:gridCol w:w="909"/>
        <w:gridCol w:w="4118"/>
        <w:tblGridChange w:id="0">
          <w:tblGrid>
            <w:gridCol w:w="4333"/>
            <w:gridCol w:w="909"/>
            <w:gridCol w:w="4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spacing w:after="20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spacing w:after="200" w:line="276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200" w:before="28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4" w:top="1814" w:left="1134" w:right="1134" w:header="170" w:footer="4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Frutiger SBIN Bd v.1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Frutiger SBIN Bd v.1" w:cs="Frutiger SBIN Bd v.1" w:eastAsia="Frutiger SBIN Bd v.1" w:hAnsi="Frutiger SBIN Bd v.1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44895" cy="129921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4895" cy="1299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Calibri" w:cs="Calibri" w:eastAsia="Calibri" w:hAnsi="Calibri"/>
        <w:b w:val="1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widowControl w:val="1"/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Standard"/>
    <w:next w:val="Standard"/>
    <w:autoRedefine w:val="0"/>
    <w:hidden w:val="0"/>
    <w:qFormat w:val="0"/>
    <w:pPr>
      <w:keepNext w:val="1"/>
      <w:widowControl w:val="1"/>
      <w:suppressAutoHyphens w:val="1"/>
      <w:bidi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eastAsia="Arial" w:hAnsi="Arial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1"/>
      <w:bidi w:val="0"/>
      <w:spacing w:line="360" w:lineRule="auto"/>
      <w:ind w:left="1134" w:right="0" w:leftChars="-1" w:rightChars="0" w:firstLine="0" w:firstLineChars="-1"/>
      <w:jc w:val="both"/>
      <w:textDirection w:val="btLr"/>
      <w:textAlignment w:val="top"/>
      <w:outlineLvl w:val="3"/>
    </w:pPr>
    <w:rPr>
      <w:rFonts w:ascii="Arial" w:cs="Arial" w:eastAsia="Times New Roman" w:hAnsi="Arial"/>
      <w:b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Standard"/>
    <w:next w:val="Standard"/>
    <w:autoRedefine w:val="0"/>
    <w:hidden w:val="0"/>
    <w:qFormat w:val="0"/>
    <w:pPr>
      <w:keepNext w:val="1"/>
      <w:widowControl w:val="1"/>
      <w:suppressAutoHyphens w:val="1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Times New Roman" w:hAnsi="Arial"/>
      <w:w w:val="100"/>
      <w:kern w:val="2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cs="Arial" w:eastAsia="Times New Roman" w:hAnsi="Arial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Standard"/>
    <w:next w:val="Standard"/>
    <w:autoRedefine w:val="0"/>
    <w:hidden w:val="0"/>
    <w:qFormat w:val="0"/>
    <w:pPr>
      <w:keepNext w:val="1"/>
      <w:widowControl w:val="1"/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7"/>
    </w:pPr>
    <w:rPr>
      <w:rFonts w:ascii="Arial" w:cs="Arial" w:eastAsia="Arial" w:hAnsi="Arial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Standard"/>
    <w:next w:val="Standard"/>
    <w:autoRedefine w:val="0"/>
    <w:hidden w:val="0"/>
    <w:qFormat w:val="0"/>
    <w:pPr>
      <w:keepNext w:val="1"/>
      <w:widowControl w:val="1"/>
      <w:suppressAutoHyphens w:val="1"/>
      <w:bidi w:val="0"/>
      <w:spacing w:line="1" w:lineRule="atLeast"/>
      <w:ind w:leftChars="-1" w:rightChars="0" w:firstLineChars="-1"/>
      <w:jc w:val="right"/>
      <w:textDirection w:val="btLr"/>
      <w:textAlignment w:val="baseline"/>
      <w:outlineLvl w:val="8"/>
    </w:pPr>
    <w:rPr>
      <w:rFonts w:ascii="Tahoma" w:cs="Tahoma" w:eastAsia="Tahoma" w:hAnsi="Tahoma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 Light" w:cs="Calibri Light" w:hAnsi="Calibri Light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eastAsia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1"/>
      <w:sz w:val="16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2">
    <w:name w:val="Ref. de nota de rodapé2"/>
    <w:next w:val="Ref.denotaderodapé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Arial" w:hAnsi="Arial"/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cs="Arial" w:eastAsia="Arial" w:hAnsi="Arial"/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Tahoma" w:cs="Tahoma" w:eastAsia="Tahoma" w:hAnsi="Tahoma"/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kern w:val="2"/>
      <w:position w:val="-1"/>
      <w:sz w:val="28"/>
      <w:effect w:val="none"/>
      <w:vertAlign w:val="baseline"/>
      <w:cs w:val="0"/>
      <w:em w:val="none"/>
      <w:lang w:eastAsia="zh-CN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eastAsia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1">
    <w:name w:val="WW-Fonte parág. padrão1"/>
    <w:next w:val="WW-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339" w:right="0" w:leftChars="-1" w:rightChars="0" w:hanging="339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color w:val="000000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1"/>
      <w:suppressAutoHyphens w:val="1"/>
      <w:bidi w:val="0"/>
      <w:spacing w:line="3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3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color w:val="000000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widowControl w:val="1"/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 Narrow" w:cs="Arial Narrow" w:eastAsia="Arial Narrow" w:hAnsi="Arial Narrow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Standard"/>
    <w:next w:val="Corpodetexto31"/>
    <w:autoRedefine w:val="0"/>
    <w:hidden w:val="0"/>
    <w:qFormat w:val="0"/>
    <w:pPr>
      <w:widowControl w:val="1"/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Standard"/>
    <w:next w:val="Recuodecorpodetexto21"/>
    <w:autoRedefine w:val="0"/>
    <w:hidden w:val="0"/>
    <w:qFormat w:val="0"/>
    <w:pPr>
      <w:widowControl w:val="1"/>
      <w:suppressAutoHyphens w:val="1"/>
      <w:bidi w:val="0"/>
      <w:spacing w:line="1" w:lineRule="atLeast"/>
      <w:ind w:left="180" w:right="0" w:leftChars="-1" w:rightChars="0" w:hanging="18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erandFooter">
    <w:name w:val="Header and Footer"/>
    <w:basedOn w:val="Standard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1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color w:val="000000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color w:val="000000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Textbody"/>
    <w:next w:val="Framecontents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3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1">
    <w:name w:val="Corpo de texto1"/>
    <w:basedOn w:val="Textbody"/>
    <w:next w:val="Corpodetexto1"/>
    <w:autoRedefine w:val="0"/>
    <w:hidden w:val="0"/>
    <w:qFormat w:val="0"/>
    <w:pPr>
      <w:keepLines w:val="1"/>
      <w:widowControl w:val="0"/>
      <w:suppressAutoHyphens w:val="0"/>
      <w:bidi w:val="0"/>
      <w:spacing w:after="120" w:before="120" w:line="24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0"/>
      <w:color w:val="000000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1"/>
      <w:bidi w:val="0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42" w:before="28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xxxxxxx@xxxxx.xxx.xx" TargetMode="External"/><Relationship Id="rId8" Type="http://schemas.openxmlformats.org/officeDocument/2006/relationships/hyperlink" Target="mailto:xxxxxxxx@xxxxx.xxx.x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65vgOVNigZ/j4UgPVsnby6a3Q==">CgMxLjAyD2lkLmh0N2E5dHRnb254djIPaWQudW5lNjF6NHQyZ3hiOABqLQoUc3VnZ2VzdC4yMWZ5cjhwN3J0aTQSFUhlbGxlbiBHb25jYWx2ZXMgTGltYWotChRzdWdnZXN0LmRybWx1bnN0YzNxcRIVSGVsbGVuIEdvbmNhbHZlcyBMaW1hai0KFHN1Z2dlc3QuODV6NDEyNXA3NGpxEhVIZWxsZW4gR29uY2FsdmVzIExpbWFqLQoUc3VnZ2VzdC5sNjJqc2N5amJqazISFUhlbGxlbiBHb25jYWx2ZXMgTGltYXIhMTMxTkgzRXFWaXYxOEZSSnBILUlGRFFWYW5ianI1e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2024-06-29T02:30:00Z</dcterms:created>
  <dc:creator>Andreia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