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clear" w:pos="720"/>
          <w:tab w:val="left" w:pos="1990" w:leader="none"/>
        </w:tabs>
        <w:spacing w:lineRule="auto" w:line="360"/>
        <w:jc w:val="center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MINUTA PADRONIZADA - A</w:t>
      </w:r>
    </w:p>
    <w:p>
      <w:pPr>
        <w:pStyle w:val="Standard"/>
        <w:tabs>
          <w:tab w:val="clear" w:pos="720"/>
          <w:tab w:val="left" w:pos="1990" w:leader="none"/>
        </w:tabs>
        <w:spacing w:lineRule="auto" w:line="360"/>
        <w:jc w:val="center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TERMO DE CESSÃO GRATUITA DE USO COM DUALIDADE ADMINISTRATIVA</w:t>
      </w:r>
    </w:p>
    <w:p>
      <w:pPr>
        <w:pStyle w:val="Normal"/>
        <w:spacing w:before="120" w:after="12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</w:r>
    </w:p>
    <w:tbl>
      <w:tblPr>
        <w:tblW w:w="9069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69"/>
      </w:tblGrid>
      <w:tr>
        <w:trPr/>
        <w:tc>
          <w:tcPr>
            <w:tcW w:w="9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00"/>
              <w:spacing w:beforeAutospacing="1" w:afterAutospacing="1"/>
              <w:jc w:val="both"/>
              <w:rPr>
                <w:rFonts w:ascii="Arial" w:hAnsi="Arial" w:eastAsia="Times New Roman" w:cs="Arial"/>
                <w:sz w:val="22"/>
                <w:szCs w:val="22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2"/>
                <w:szCs w:val="22"/>
                <w:lang w:eastAsia="pt-BR"/>
              </w:rPr>
              <w:t>Not</w:t>
            </w:r>
            <w:r>
              <w:rPr>
                <w:rFonts w:eastAsia="Times New Roman" w:cs="Arial" w:ascii="Arial" w:hAnsi="Arial"/>
                <w:b/>
                <w:bCs/>
                <w:sz w:val="22"/>
                <w:szCs w:val="22"/>
                <w:shd w:fill="FFFF00" w:val="clear"/>
                <w:lang w:eastAsia="pt-BR"/>
              </w:rPr>
              <w:t>a explicativa n.º 01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eastAsia="Times New Roman" w:cs="Arial"/>
                <w:sz w:val="22"/>
                <w:szCs w:val="22"/>
                <w:highlight w:val="red"/>
                <w:highlight w:val="yellow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00" w:val="clear"/>
                <w:lang w:eastAsia="pt-BR"/>
              </w:rPr>
              <w:t xml:space="preserve">(Obs. As notas explicativas são meramente orientativas. Portanto, devem ser excluídas da minuta do termo de permissão que será </w:t>
            </w:r>
            <w:r>
              <w:rPr>
                <w:rFonts w:eastAsia="Times New Roman" w:cs="Arial" w:ascii="Arial" w:hAnsi="Arial"/>
                <w:b/>
                <w:sz w:val="22"/>
                <w:szCs w:val="22"/>
                <w:highlight w:val="yellow"/>
                <w:shd w:fill="FF3300" w:val="clear"/>
                <w:lang w:eastAsia="pt-BR"/>
              </w:rPr>
              <w:t>assinado</w:t>
            </w:r>
            <w:r>
              <w:rPr>
                <w:rFonts w:eastAsia="Times New Roman" w:cs="Arial" w:ascii="Arial" w:hAnsi="Arial"/>
                <w:sz w:val="22"/>
                <w:szCs w:val="22"/>
                <w:highlight w:val="yellow"/>
                <w:shd w:fill="FF3300" w:val="clear"/>
                <w:lang w:eastAsia="pt-BR"/>
              </w:rPr>
              <w:t>)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Esta minuta de Termo de Cessão Gratuita de Uso de Imóvel aos Municípios, com dualidade administrativa, para fins de concretização do disposto na Lei estadual n.º 10.354/93, visa fornecer uma base formal para a Secretaria de Estado da Educação (SEED) que almeje ceder imóvel sob a sua vinculação e responsabilidade.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Os itens desta minuta, destacados em amarelo, devem ser preenchidos pela SEED, consoante os dados do Município cessionário.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As cláusulas que contenham notas explicativas para compreensão do agente ou setor responsável pela elaboração do Termo de Cessão, deverão ser devidamente suprimidas quando da finalização do documento e encaminhamento para assinatura.</w:t>
            </w:r>
          </w:p>
          <w:p>
            <w:pPr>
              <w:pStyle w:val="Normal"/>
              <w:shd w:val="clear" w:color="auto" w:fill="FFFF00"/>
              <w:spacing w:beforeAutospacing="1" w:after="0"/>
              <w:ind w:firstLine="11"/>
              <w:rPr>
                <w:rFonts w:eastAsia="Times New Roman"/>
                <w:sz w:val="20"/>
                <w:szCs w:val="20"/>
                <w:highlight w:val="red"/>
                <w:highlight w:val="yellow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highlight w:val="yellow"/>
                <w:shd w:fill="FF3300" w:val="clear"/>
                <w:lang w:eastAsia="pt-BR"/>
              </w:rPr>
            </w:r>
          </w:p>
        </w:tc>
      </w:tr>
    </w:tbl>
    <w:p>
      <w:pPr>
        <w:pStyle w:val="Normal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</w:r>
    </w:p>
    <w:p>
      <w:pPr>
        <w:pStyle w:val="Standard"/>
        <w:tabs>
          <w:tab w:val="clear" w:pos="720"/>
          <w:tab w:val="left" w:pos="1990" w:leader="none"/>
        </w:tabs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Standard"/>
        <w:tabs>
          <w:tab w:val="clear" w:pos="720"/>
          <w:tab w:val="left" w:pos="1990" w:leader="none"/>
        </w:tabs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Standard"/>
        <w:tabs>
          <w:tab w:val="clear" w:pos="720"/>
          <w:tab w:val="left" w:pos="1990" w:leader="none"/>
        </w:tabs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Standard"/>
        <w:tabs>
          <w:tab w:val="clear" w:pos="720"/>
          <w:tab w:val="left" w:pos="1990" w:leader="none"/>
        </w:tabs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Standard"/>
        <w:tabs>
          <w:tab w:val="clear" w:pos="720"/>
          <w:tab w:val="left" w:pos="1990" w:leader="none"/>
        </w:tabs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Standard"/>
        <w:tabs>
          <w:tab w:val="clear" w:pos="720"/>
          <w:tab w:val="left" w:pos="1990" w:leader="none"/>
        </w:tabs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Standard"/>
        <w:tabs>
          <w:tab w:val="clear" w:pos="720"/>
          <w:tab w:val="left" w:pos="1990" w:leader="none"/>
        </w:tabs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Standard"/>
        <w:tabs>
          <w:tab w:val="clear" w:pos="720"/>
          <w:tab w:val="left" w:pos="1990" w:leader="none"/>
        </w:tabs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uppressAutoHyphens w:val="fals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TERMO DE CESSÃO GRATUITA DE USO DE IMÓVEL N.º </w:t>
      </w:r>
      <w:r>
        <w:rPr>
          <w:rFonts w:cs="Arial" w:ascii="Arial" w:hAnsi="Arial"/>
          <w:b/>
          <w:bCs/>
          <w:sz w:val="22"/>
          <w:szCs w:val="22"/>
          <w:highlight w:val="yellow"/>
        </w:rPr>
        <w:t>XX</w:t>
      </w:r>
      <w:r>
        <w:rPr>
          <w:rFonts w:cs="Arial" w:ascii="Arial" w:hAnsi="Arial"/>
          <w:b/>
          <w:bCs/>
          <w:sz w:val="22"/>
          <w:szCs w:val="22"/>
        </w:rPr>
        <w:t>/</w:t>
      </w:r>
      <w:r>
        <w:rPr>
          <w:rFonts w:cs="Arial" w:ascii="Arial" w:hAnsi="Arial"/>
          <w:b/>
          <w:bCs/>
          <w:sz w:val="22"/>
          <w:szCs w:val="22"/>
          <w:highlight w:val="yellow"/>
        </w:rPr>
        <w:t>20XX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Style w:val="Tabelacomgrade"/>
        <w:tblW w:w="90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0"/>
      </w:tblGrid>
      <w:tr>
        <w:trPr/>
        <w:tc>
          <w:tcPr>
            <w:tcW w:w="4530" w:type="dxa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PROTOCOLO N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 xml:space="preserve">.º: 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highlight w:val="yellow"/>
                <w:lang w:eastAsia="en-US" w:bidi="ar-SA"/>
              </w:rPr>
              <w:t>XXX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IDENTIFICAÇÃO DO IMÓVEL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 xml:space="preserve">: 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highlight w:val="yellow"/>
                <w:lang w:eastAsia="en-US" w:bidi="ar-SA"/>
              </w:rPr>
              <w:t>XXX</w:t>
            </w:r>
          </w:p>
        </w:tc>
      </w:tr>
      <w:tr>
        <w:trPr/>
        <w:tc>
          <w:tcPr>
            <w:tcW w:w="9060" w:type="dxa"/>
            <w:gridSpan w:val="2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AUTORIZAÇÃO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>: Lei estadual n.º 10.354/1993, publicada na edição do Diário Oficial n.º 4.053, de 13/07/1993</w:t>
            </w:r>
          </w:p>
        </w:tc>
      </w:tr>
      <w:tr>
        <w:trPr/>
        <w:tc>
          <w:tcPr>
            <w:tcW w:w="9060" w:type="dxa"/>
            <w:gridSpan w:val="2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CEDENTE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>: Estado do Paraná</w:t>
            </w:r>
          </w:p>
        </w:tc>
      </w:tr>
      <w:tr>
        <w:trPr/>
        <w:tc>
          <w:tcPr>
            <w:tcW w:w="9060" w:type="dxa"/>
            <w:gridSpan w:val="2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CESSIONÁRIO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 xml:space="preserve">: Município de 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highlight w:val="yellow"/>
                <w:lang w:eastAsia="en-US" w:bidi="ar-SA"/>
              </w:rPr>
              <w:t>XXX</w:t>
            </w:r>
          </w:p>
        </w:tc>
      </w:tr>
      <w:tr>
        <w:trPr/>
        <w:tc>
          <w:tcPr>
            <w:tcW w:w="9060" w:type="dxa"/>
            <w:gridSpan w:val="2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jc w:val="both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VIGÊNCIA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 xml:space="preserve">: 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highlight w:val="yellow"/>
                <w:lang w:eastAsia="en-US" w:bidi="ar-SA"/>
              </w:rPr>
              <w:t xml:space="preserve">[ver nota explicativa 2): </w:t>
            </w:r>
          </w:p>
        </w:tc>
      </w:tr>
      <w:tr>
        <w:trPr/>
        <w:tc>
          <w:tcPr>
            <w:tcW w:w="9060" w:type="dxa"/>
            <w:gridSpan w:val="2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ENDEREÇO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>: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BAIRRO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MUNICÍPIO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>: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ÁREA TERRENO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ÁREA EDIFICADA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>:</w:t>
            </w:r>
          </w:p>
        </w:tc>
      </w:tr>
      <w:tr>
        <w:trPr/>
        <w:tc>
          <w:tcPr>
            <w:tcW w:w="9060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276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eastAsia="Calibri" w:cs="Arial" w:eastAsiaTheme="minorHAnsi" w:ascii="Arial" w:hAnsi="Arial"/>
                <w:b/>
                <w:kern w:val="0"/>
                <w:sz w:val="22"/>
                <w:szCs w:val="22"/>
                <w:lang w:eastAsia="en-US" w:bidi="ar-SA"/>
              </w:rPr>
              <w:t xml:space="preserve">SITUAÇÃO DOMINIAL: </w:t>
            </w:r>
            <w:r>
              <w:rPr>
                <w:rFonts w:eastAsia="Calibri" w:cs="Arial" w:eastAsiaTheme="minorHAnsi" w:ascii="Arial" w:hAnsi="Arial"/>
                <w:kern w:val="0"/>
                <w:sz w:val="22"/>
                <w:szCs w:val="22"/>
                <w:lang w:eastAsia="en-US" w:bidi="ar-SA"/>
              </w:rPr>
              <w:t xml:space="preserve">O imóvel é de propriedade do Estado do Paraná, registrado no Cartório de Registro de Imóveis da Comarca de </w:t>
            </w:r>
            <w:r>
              <w:rPr>
                <w:rFonts w:eastAsia="Calibri" w:cs="Arial" w:eastAsiaTheme="minorHAnsi" w:ascii="Arial" w:hAnsi="Arial"/>
                <w:kern w:val="0"/>
                <w:sz w:val="22"/>
                <w:szCs w:val="22"/>
                <w:highlight w:val="yellow"/>
                <w:lang w:eastAsia="en-US" w:bidi="ar-SA"/>
              </w:rPr>
              <w:t>XXXX</w:t>
            </w:r>
            <w:r>
              <w:rPr>
                <w:rFonts w:eastAsia="Calibri" w:cs="Arial" w:eastAsiaTheme="minorHAnsi" w:ascii="Arial" w:hAnsi="Arial"/>
                <w:kern w:val="0"/>
                <w:sz w:val="22"/>
                <w:szCs w:val="22"/>
                <w:lang w:eastAsia="en-US" w:bidi="ar-SA"/>
              </w:rPr>
              <w:t xml:space="preserve">, sob a Transcrição/Matrícula n° </w:t>
            </w:r>
            <w:r>
              <w:rPr>
                <w:rFonts w:eastAsia="Calibri" w:cs="Arial" w:eastAsiaTheme="minorHAnsi" w:ascii="Arial" w:hAnsi="Arial"/>
                <w:kern w:val="0"/>
                <w:sz w:val="22"/>
                <w:szCs w:val="22"/>
                <w:highlight w:val="yellow"/>
                <w:lang w:eastAsia="en-US" w:bidi="ar-SA"/>
              </w:rPr>
              <w:t>XXXX.</w:t>
            </w:r>
          </w:p>
        </w:tc>
      </w:tr>
      <w:tr>
        <w:trPr/>
        <w:tc>
          <w:tcPr>
            <w:tcW w:w="9060" w:type="dxa"/>
            <w:gridSpan w:val="2"/>
            <w:tcBorders/>
            <w:shd w:fill="auto" w:val="clear"/>
          </w:tcPr>
          <w:p>
            <w:pPr>
              <w:pStyle w:val="Ttulo1"/>
              <w:widowControl/>
              <w:numPr>
                <w:ilvl w:val="0"/>
                <w:numId w:val="2"/>
              </w:numPr>
              <w:pBdr/>
              <w:spacing w:before="240" w:after="120"/>
              <w:textAlignment w:val="auto"/>
              <w:outlineLvl w:val="0"/>
              <w:rPr>
                <w:rFonts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Arial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VALOR DO IMÓVEL</w:t>
            </w:r>
            <w:r>
              <w:rPr>
                <w:rFonts w:eastAsia="Calibri" w:cs="Arial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>:</w:t>
            </w:r>
          </w:p>
        </w:tc>
      </w:tr>
      <w:tr>
        <w:trPr/>
        <w:tc>
          <w:tcPr>
            <w:tcW w:w="9060" w:type="dxa"/>
            <w:gridSpan w:val="2"/>
            <w:tcBorders/>
            <w:shd w:fill="auto" w:val="clear"/>
          </w:tcPr>
          <w:p>
            <w:pPr>
              <w:pStyle w:val="TituloN1"/>
              <w:widowControl/>
              <w:numPr>
                <w:ilvl w:val="0"/>
                <w:numId w:val="2"/>
              </w:numPr>
              <w:spacing w:before="240" w:after="120"/>
              <w:jc w:val="both"/>
              <w:textAlignment w:val="auto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eastAsia="Calibri" w:cs="" w:cstheme="minorBidi" w:eastAsiaTheme="minorHAnsi" w:ascii="Calibri" w:hAnsi="Calibri"/>
                <w:bCs w:val="false"/>
                <w:kern w:val="0"/>
                <w:sz w:val="22"/>
                <w:szCs w:val="22"/>
                <w:lang w:eastAsia="en-US" w:bidi="ar-SA"/>
              </w:rPr>
              <w:t>UTILIZAÇÃO</w:t>
            </w:r>
            <w:r>
              <w:rPr>
                <w:rFonts w:eastAsia="Calibri" w:cs="" w:cstheme="minorBidi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 xml:space="preserve">: O Estado do Paraná, por meio da Secretaria de Estado da Educação – SEED, cede ao </w:t>
            </w:r>
            <w:r>
              <w:rPr>
                <w:rFonts w:eastAsia="Calibri" w:cs="" w:cstheme="minorBidi" w:eastAsiaTheme="minorHAnsi" w:ascii="Calibri" w:hAnsi="Calibri"/>
                <w:b w:val="false"/>
                <w:kern w:val="0"/>
                <w:sz w:val="22"/>
                <w:szCs w:val="22"/>
                <w:highlight w:val="yellow"/>
                <w:lang w:eastAsia="en-US" w:bidi="ar-SA"/>
              </w:rPr>
              <w:t>Município de XXX</w:t>
            </w:r>
            <w:r>
              <w:rPr>
                <w:rFonts w:eastAsia="Calibri" w:cs="" w:cstheme="minorBidi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 xml:space="preserve">, a título precário e gratuito, o imóvel onde funciona o </w:t>
            </w:r>
            <w:r>
              <w:rPr>
                <w:rFonts w:eastAsia="Calibri" w:cs="" w:cstheme="minorBidi" w:eastAsiaTheme="minorHAnsi" w:ascii="Calibri" w:hAnsi="Calibri"/>
                <w:b w:val="false"/>
                <w:kern w:val="0"/>
                <w:sz w:val="22"/>
                <w:szCs w:val="22"/>
                <w:highlight w:val="yellow"/>
                <w:lang w:eastAsia="en-US" w:bidi="ar-SA"/>
              </w:rPr>
              <w:t>Escola/ Colégio Estadual ...,</w:t>
            </w:r>
            <w:r>
              <w:rPr>
                <w:rFonts w:eastAsia="Calibri" w:cs="" w:cstheme="minorBidi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 xml:space="preserve"> para uso em dualidade administrativa com a </w:t>
            </w:r>
            <w:r>
              <w:rPr>
                <w:rFonts w:eastAsia="Calibri" w:cs="" w:cstheme="minorBidi" w:eastAsiaTheme="minorHAnsi" w:ascii="Calibri" w:hAnsi="Calibri"/>
                <w:b w:val="false"/>
                <w:kern w:val="0"/>
                <w:sz w:val="22"/>
                <w:szCs w:val="22"/>
                <w:highlight w:val="yellow"/>
                <w:lang w:eastAsia="en-US" w:bidi="ar-SA"/>
              </w:rPr>
              <w:t>Escola Municipal XXX</w:t>
            </w:r>
            <w:r>
              <w:rPr>
                <w:rFonts w:eastAsia="Calibri" w:cs="" w:cstheme="minorBidi" w:eastAsiaTheme="minorHAnsi" w:ascii="Calibri" w:hAnsi="Calibri"/>
                <w:b w:val="false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892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928"/>
      </w:tblGrid>
      <w:tr>
        <w:trPr/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00"/>
              <w:spacing w:beforeAutospacing="1" w:afterAutospacing="1"/>
              <w:jc w:val="both"/>
              <w:rPr>
                <w:rFonts w:ascii="Arial" w:hAnsi="Arial" w:eastAsia="Times New Roman" w:cs="Arial"/>
                <w:sz w:val="22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2"/>
                <w:lang w:eastAsia="pt-BR"/>
              </w:rPr>
              <w:t>Not</w:t>
            </w:r>
            <w:r>
              <w:rPr>
                <w:rFonts w:eastAsia="Times New Roman" w:cs="Arial" w:ascii="Arial" w:hAnsi="Arial"/>
                <w:b/>
                <w:bCs/>
                <w:sz w:val="22"/>
                <w:shd w:fill="FFFF00" w:val="clear"/>
                <w:lang w:eastAsia="pt-BR"/>
              </w:rPr>
              <w:t>a explicativa n.º 02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eastAsia="Times New Roman" w:cs="Arial"/>
                <w:sz w:val="22"/>
                <w:highlight w:val="red"/>
                <w:highlight w:val="yellow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hd w:fill="FFFF00" w:val="clear"/>
                <w:lang w:eastAsia="pt-BR"/>
              </w:rPr>
              <w:t xml:space="preserve">(Obs. As notas explicativas são meramente orientativas. Portanto, devem ser excluídas da minuta do termo de cessão que será </w:t>
            </w:r>
            <w:r>
              <w:rPr>
                <w:rFonts w:eastAsia="Times New Roman" w:cs="Arial" w:ascii="Arial" w:hAnsi="Arial"/>
                <w:b/>
                <w:sz w:val="22"/>
                <w:highlight w:val="yellow"/>
                <w:shd w:fill="FF3300" w:val="clear"/>
                <w:lang w:eastAsia="pt-BR"/>
              </w:rPr>
              <w:t>assinado</w:t>
            </w:r>
            <w:r>
              <w:rPr>
                <w:rFonts w:eastAsia="Times New Roman" w:cs="Arial" w:ascii="Arial" w:hAnsi="Arial"/>
                <w:sz w:val="22"/>
                <w:highlight w:val="yellow"/>
                <w:shd w:fill="FF3300" w:val="clear"/>
                <w:lang w:eastAsia="pt-BR"/>
              </w:rPr>
              <w:t>)</w:t>
            </w:r>
          </w:p>
          <w:p>
            <w:pPr>
              <w:pStyle w:val="Normal"/>
              <w:shd w:val="clear" w:color="auto" w:fill="FFFF00"/>
              <w:spacing w:beforeAutospacing="1" w:after="0"/>
              <w:ind w:firstLine="11"/>
              <w:jc w:val="both"/>
              <w:rPr>
                <w:rFonts w:ascii="Arial" w:hAnsi="Arial" w:eastAsia="Times New Roman" w:cs="Arial"/>
                <w:sz w:val="22"/>
                <w:szCs w:val="22"/>
                <w:highlight w:val="red"/>
                <w:highlight w:val="yellow"/>
                <w:lang w:eastAsia="pt-BR"/>
              </w:rPr>
            </w:pPr>
            <w:r>
              <w:rPr>
                <w:rFonts w:cs="Arial" w:ascii="Arial" w:hAnsi="Arial"/>
                <w:sz w:val="22"/>
                <w:szCs w:val="22"/>
                <w:highlight w:val="yellow"/>
              </w:rPr>
              <w:t>Conforme Decreto n.º 4.120/2016, “[a] modalidade Cessão de Uso Gratuito possibilitará vigência máxima de cinco anos e a necessidade de prazo diferenciado deverá ser avaliada pela SEAP/CPE, sob compatibilização da justificativa pelo Usuário versus necessidades da Administração Estadual.”</w:t>
            </w:r>
          </w:p>
        </w:tc>
      </w:tr>
    </w:tbl>
    <w:p>
      <w:pPr>
        <w:pStyle w:val="Normal"/>
        <w:spacing w:before="120" w:after="12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sz w:val="22"/>
          <w:szCs w:val="22"/>
          <w:highlight w:val="green"/>
        </w:rPr>
      </w:pPr>
      <w:r>
        <w:rPr>
          <w:rFonts w:cs="Arial" w:ascii="Arial" w:hAnsi="Arial"/>
          <w:b/>
          <w:sz w:val="22"/>
          <w:szCs w:val="22"/>
        </w:rPr>
        <w:t>CLÁUSULA PRIMEIRA: DA LEGISLAÇÃO REGENTE E DOS CASOS OMISSOS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1.1</w:t>
      </w:r>
      <w:r>
        <w:rPr>
          <w:rFonts w:cs="Arial" w:ascii="Arial" w:hAnsi="Arial"/>
          <w:sz w:val="22"/>
          <w:szCs w:val="22"/>
        </w:rPr>
        <w:t xml:space="preserve"> As partes, </w:t>
      </w:r>
      <w:r>
        <w:rPr>
          <w:rFonts w:cs="Arial" w:ascii="Arial" w:hAnsi="Arial"/>
          <w:b/>
          <w:bCs/>
          <w:sz w:val="22"/>
          <w:szCs w:val="22"/>
        </w:rPr>
        <w:t>CEDENTE</w:t>
      </w:r>
      <w:r>
        <w:rPr>
          <w:rFonts w:cs="Arial" w:ascii="Arial" w:hAnsi="Arial"/>
          <w:sz w:val="22"/>
          <w:szCs w:val="22"/>
        </w:rPr>
        <w:t xml:space="preserve"> e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, ficam sujeitos às normas da Lei estadual n.º 10.354/1993 e, subsidiariamente, do Decreto estadual n.º 4.120/2016, bem como ao Decreto estadual n.º 10.086/2022 e, subsidiariamente, da Lei federal n.º 14.133/2021, </w:t>
      </w:r>
      <w:r>
        <w:rPr>
          <w:rFonts w:eastAsia="Myriad Pro" w:cs="Arial" w:ascii="Arial" w:hAnsi="Arial"/>
          <w:sz w:val="22"/>
          <w:szCs w:val="22"/>
          <w:shd w:fill="FFFFFF" w:val="clear"/>
        </w:rPr>
        <w:t xml:space="preserve">e </w:t>
      </w:r>
      <w:bookmarkStart w:id="0" w:name="_Hlk83899307"/>
      <w:r>
        <w:rPr>
          <w:rFonts w:eastAsia="Myriad Pro" w:cs="Arial" w:ascii="Arial" w:hAnsi="Arial"/>
          <w:sz w:val="22"/>
          <w:szCs w:val="22"/>
          <w:shd w:fill="FFFFFF" w:val="clear"/>
        </w:rPr>
        <w:t>as demais normas federais e estaduais aplicáveis à espécie, de modo que a consecução do presente Termo cumpra com o disposto na legislação incidente sobre o tema</w:t>
      </w:r>
      <w:bookmarkEnd w:id="0"/>
      <w:r>
        <w:rPr>
          <w:rFonts w:eastAsia="Myriad Pro" w:cs="Arial" w:ascii="Arial" w:hAnsi="Arial"/>
          <w:sz w:val="22"/>
          <w:szCs w:val="22"/>
          <w:shd w:fill="FFFFFF" w:val="clear"/>
        </w:rPr>
        <w:t>. Os casos omissos devem se valer da mesma legislação.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sz w:val="22"/>
          <w:szCs w:val="22"/>
          <w:highlight w:val="green"/>
        </w:rPr>
      </w:pPr>
      <w:r>
        <w:rPr>
          <w:rFonts w:cs="Arial" w:ascii="Arial" w:hAnsi="Arial"/>
          <w:b/>
          <w:sz w:val="22"/>
          <w:szCs w:val="22"/>
        </w:rPr>
        <w:t>CLÁUSULA SEGUNDA: DO OBJETO DA CESSÃO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2.1</w:t>
      </w:r>
      <w:r>
        <w:rPr>
          <w:rFonts w:cs="Arial" w:ascii="Arial" w:hAnsi="Arial"/>
          <w:sz w:val="22"/>
          <w:szCs w:val="22"/>
        </w:rPr>
        <w:t xml:space="preserve"> Imóvel objeto da Transcrição/Matrícula n° </w:t>
      </w:r>
      <w:r>
        <w:rPr>
          <w:rFonts w:cs="Arial" w:ascii="Arial" w:hAnsi="Arial"/>
          <w:sz w:val="22"/>
          <w:szCs w:val="22"/>
          <w:highlight w:val="yellow"/>
        </w:rPr>
        <w:t>XXX</w:t>
      </w:r>
      <w:r>
        <w:rPr>
          <w:rFonts w:cs="Arial" w:ascii="Arial" w:hAnsi="Arial"/>
          <w:sz w:val="22"/>
          <w:szCs w:val="22"/>
        </w:rPr>
        <w:t xml:space="preserve"> do Registro de Imóveis de </w:t>
      </w:r>
      <w:r>
        <w:rPr>
          <w:rFonts w:cs="Arial" w:ascii="Arial" w:hAnsi="Arial"/>
          <w:sz w:val="22"/>
          <w:szCs w:val="22"/>
          <w:highlight w:val="yellow"/>
        </w:rPr>
        <w:t>XXX</w:t>
      </w:r>
      <w:r>
        <w:rPr>
          <w:rFonts w:cs="Arial" w:ascii="Arial" w:hAnsi="Arial"/>
          <w:sz w:val="22"/>
          <w:szCs w:val="22"/>
        </w:rPr>
        <w:t xml:space="preserve">, localizado na </w:t>
      </w:r>
      <w:r>
        <w:rPr>
          <w:rFonts w:cs="Arial" w:ascii="Arial" w:hAnsi="Arial"/>
          <w:sz w:val="22"/>
          <w:szCs w:val="22"/>
          <w:highlight w:val="yellow"/>
        </w:rPr>
        <w:t>XXX,</w:t>
      </w:r>
      <w:r>
        <w:rPr>
          <w:rFonts w:cs="Arial" w:ascii="Arial" w:hAnsi="Arial"/>
          <w:sz w:val="22"/>
          <w:szCs w:val="22"/>
        </w:rPr>
        <w:t xml:space="preserve"> no Município de </w:t>
      </w:r>
      <w:r>
        <w:rPr>
          <w:rFonts w:cs="Arial" w:ascii="Arial" w:hAnsi="Arial"/>
          <w:sz w:val="22"/>
          <w:szCs w:val="22"/>
          <w:highlight w:val="yellow"/>
        </w:rPr>
        <w:t>XXX,</w:t>
      </w:r>
      <w:r>
        <w:rPr>
          <w:rFonts w:cs="Arial" w:ascii="Arial" w:hAnsi="Arial"/>
          <w:sz w:val="22"/>
          <w:szCs w:val="22"/>
        </w:rPr>
        <w:t xml:space="preserve"> com área de </w:t>
      </w:r>
      <w:r>
        <w:rPr>
          <w:rFonts w:cs="Arial" w:ascii="Arial" w:hAnsi="Arial"/>
          <w:sz w:val="22"/>
          <w:szCs w:val="22"/>
          <w:highlight w:val="yellow"/>
        </w:rPr>
        <w:t>XXX</w:t>
      </w:r>
      <w:r>
        <w:rPr>
          <w:rFonts w:cs="Arial" w:ascii="Arial" w:hAnsi="Arial"/>
          <w:sz w:val="22"/>
          <w:szCs w:val="22"/>
        </w:rPr>
        <w:t xml:space="preserve">, de propriedade do Estado do Paraná. 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2.2</w:t>
      </w:r>
      <w:r>
        <w:rPr>
          <w:rFonts w:cs="Arial" w:ascii="Arial" w:hAnsi="Arial"/>
          <w:sz w:val="22"/>
          <w:szCs w:val="22"/>
        </w:rPr>
        <w:t xml:space="preserve"> Constituem-se como objeto da cessão de uso as seguintes partes da edificação: </w:t>
      </w:r>
      <w:r>
        <w:rPr>
          <w:rFonts w:cs="Arial" w:ascii="Arial" w:hAnsi="Arial"/>
          <w:sz w:val="22"/>
          <w:szCs w:val="22"/>
          <w:highlight w:val="yellow"/>
        </w:rPr>
        <w:t xml:space="preserve">XX cozinha, XX área coberta, XX banheiros femininos, XX banheiros masculinos, XX banheiro de professores, XX salas de aula, XX sala do professor, XX lavanderia, XX quadra de esporte, </w:t>
      </w:r>
      <w:r>
        <w:rPr>
          <w:rFonts w:cs="Arial" w:ascii="Arial" w:hAnsi="Arial"/>
          <w:sz w:val="22"/>
          <w:szCs w:val="22"/>
        </w:rPr>
        <w:t>no(</w:t>
      </w:r>
      <w:r>
        <w:rPr>
          <w:rFonts w:cs="Arial" w:ascii="Arial" w:hAnsi="Arial"/>
          <w:sz w:val="22"/>
          <w:szCs w:val="22"/>
          <w:highlight w:val="yellow"/>
        </w:rPr>
        <w:t>s)</w:t>
      </w:r>
      <w:r>
        <w:rPr>
          <w:rFonts w:cs="Arial" w:ascii="Arial" w:hAnsi="Arial"/>
          <w:sz w:val="22"/>
          <w:szCs w:val="22"/>
        </w:rPr>
        <w:t xml:space="preserve"> período </w:t>
      </w:r>
      <w:r>
        <w:rPr>
          <w:rFonts w:cs="Arial" w:ascii="Arial" w:hAnsi="Arial"/>
          <w:sz w:val="22"/>
          <w:szCs w:val="22"/>
          <w:highlight w:val="yellow"/>
        </w:rPr>
        <w:t>(s)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  <w:highlight w:val="yellow"/>
        </w:rPr>
        <w:t xml:space="preserve">matutino/ vespertino/ noturno, </w:t>
      </w:r>
      <w:r>
        <w:rPr>
          <w:rFonts w:cs="Arial" w:ascii="Arial" w:hAnsi="Arial"/>
          <w:sz w:val="22"/>
          <w:szCs w:val="22"/>
        </w:rPr>
        <w:t xml:space="preserve">entre outros ambientes necessários ao atendimento dos alunos designados pela Secretaria Municipal de Educação de </w:t>
      </w:r>
      <w:r>
        <w:rPr>
          <w:rFonts w:cs="Arial" w:ascii="Arial" w:hAnsi="Arial"/>
          <w:sz w:val="22"/>
          <w:szCs w:val="22"/>
          <w:highlight w:val="yellow"/>
        </w:rPr>
        <w:t>XXX</w:t>
      </w:r>
      <w:r>
        <w:rPr>
          <w:rFonts w:cs="Arial" w:ascii="Arial" w:hAnsi="Arial"/>
          <w:sz w:val="22"/>
          <w:szCs w:val="22"/>
        </w:rPr>
        <w:t xml:space="preserve">, de acordo com a disponibilidade de espaço físico e após análise e deliberação do </w:t>
      </w:r>
      <w:r>
        <w:rPr>
          <w:rFonts w:cs="Arial" w:ascii="Arial" w:hAnsi="Arial"/>
          <w:sz w:val="22"/>
          <w:szCs w:val="22"/>
          <w:highlight w:val="yellow"/>
        </w:rPr>
        <w:t>Núcleo Regional de Educação – NRE de XXX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2.3</w:t>
      </w:r>
      <w:r>
        <w:rPr>
          <w:rFonts w:cs="Arial" w:ascii="Arial" w:hAnsi="Arial"/>
          <w:sz w:val="22"/>
          <w:szCs w:val="22"/>
        </w:rPr>
        <w:t xml:space="preserve"> Integram o presente Termo: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2.3.1</w:t>
      </w:r>
      <w:r>
        <w:rPr>
          <w:rFonts w:cs="Arial" w:ascii="Arial" w:hAnsi="Arial"/>
          <w:sz w:val="22"/>
          <w:szCs w:val="22"/>
        </w:rPr>
        <w:t xml:space="preserve"> Anexo I: Planta Planimétrica Cadastral elaborada pela empresa </w:t>
      </w:r>
      <w:r>
        <w:rPr>
          <w:rFonts w:cs="Arial" w:ascii="Arial" w:hAnsi="Arial"/>
          <w:sz w:val="22"/>
          <w:szCs w:val="22"/>
          <w:highlight w:val="yellow"/>
        </w:rPr>
        <w:t>Hiparc Geotecnologia / NIP do Brasil / Enprol Engenharia e Projetos</w:t>
      </w:r>
      <w:r>
        <w:rPr>
          <w:rFonts w:cs="Arial" w:ascii="Arial" w:hAnsi="Arial"/>
          <w:sz w:val="22"/>
          <w:szCs w:val="22"/>
        </w:rPr>
        <w:t>, que delimita a área objeto da cessão de uso.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2.3.2</w:t>
      </w:r>
      <w:r>
        <w:rPr>
          <w:rFonts w:cs="Arial" w:ascii="Arial" w:hAnsi="Arial"/>
          <w:sz w:val="22"/>
          <w:szCs w:val="22"/>
        </w:rPr>
        <w:t xml:space="preserve"> Anexo II: Termo de Compromisso </w:t>
      </w:r>
      <w:r>
        <w:rPr>
          <w:rStyle w:val="Markedcontent"/>
          <w:rFonts w:cs="Arial" w:ascii="Arial" w:hAnsi="Arial"/>
          <w:sz w:val="22"/>
          <w:szCs w:val="22"/>
        </w:rPr>
        <w:t xml:space="preserve">da Cessão de Uso, no qual conste </w:t>
      </w:r>
      <w:r>
        <w:rPr>
          <w:rFonts w:cs="Arial" w:ascii="Arial" w:hAnsi="Arial"/>
          <w:sz w:val="22"/>
          <w:szCs w:val="22"/>
        </w:rPr>
        <w:t xml:space="preserve">as despesas que cabem ao Município de </w:t>
      </w:r>
      <w:r>
        <w:rPr>
          <w:rFonts w:cs="Arial" w:ascii="Arial" w:hAnsi="Arial"/>
          <w:sz w:val="22"/>
          <w:szCs w:val="22"/>
          <w:highlight w:val="yellow"/>
        </w:rPr>
        <w:t>XXX</w:t>
      </w:r>
      <w:r>
        <w:rPr>
          <w:rFonts w:cs="Arial" w:ascii="Arial" w:hAnsi="Arial"/>
          <w:sz w:val="22"/>
          <w:szCs w:val="22"/>
        </w:rPr>
        <w:t xml:space="preserve"> durante a vigência da cessão, tais como vigilância, energia, gás, água, esgoto, conservação, impostos, taxas e tarifas.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2.3.3</w:t>
      </w:r>
      <w:r>
        <w:rPr>
          <w:rFonts w:cs="Arial" w:ascii="Arial" w:hAnsi="Arial"/>
          <w:sz w:val="22"/>
          <w:szCs w:val="22"/>
        </w:rPr>
        <w:t xml:space="preserve"> Anexo III: Vistoria das condições do imóvel, conforme modelo consignado no anexo III do Decreto n.º 4.120/2016.</w:t>
      </w:r>
    </w:p>
    <w:p>
      <w:pPr>
        <w:pStyle w:val="Normal"/>
        <w:spacing w:before="120" w:after="12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</w:r>
    </w:p>
    <w:tbl>
      <w:tblPr>
        <w:tblW w:w="850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504"/>
      </w:tblGrid>
      <w:tr>
        <w:trPr/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00"/>
              <w:spacing w:beforeAutospacing="1" w:afterAutospacing="1"/>
              <w:rPr>
                <w:rFonts w:eastAsia="Times New Roman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sz w:val="22"/>
                <w:lang w:eastAsia="pt-BR"/>
              </w:rPr>
              <w:t>Not</w:t>
            </w:r>
            <w:r>
              <w:rPr>
                <w:rFonts w:eastAsia="Times New Roman"/>
                <w:b/>
                <w:bCs/>
                <w:sz w:val="22"/>
                <w:shd w:fill="FFFF00" w:val="clear"/>
                <w:lang w:eastAsia="pt-BR"/>
              </w:rPr>
              <w:t>a explicativa n.º 03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eastAsia="Times New Roman" w:cs="Arial"/>
                <w:sz w:val="22"/>
                <w:szCs w:val="22"/>
                <w:highlight w:val="red"/>
                <w:highlight w:val="yellow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hd w:fill="FFFF00" w:val="clear"/>
                <w:lang w:eastAsia="pt-BR"/>
              </w:rPr>
              <w:t xml:space="preserve">(Obs. As notas explicativas são meramente orientativas. Portanto, devem ser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00" w:val="clear"/>
                <w:lang w:eastAsia="pt-BR"/>
              </w:rPr>
              <w:t xml:space="preserve">excluídas da minuta do termo de permissão que será </w:t>
            </w:r>
            <w:r>
              <w:rPr>
                <w:rFonts w:eastAsia="Times New Roman" w:cs="Arial" w:ascii="Arial" w:hAnsi="Arial"/>
                <w:b/>
                <w:sz w:val="22"/>
                <w:szCs w:val="22"/>
                <w:highlight w:val="yellow"/>
                <w:shd w:fill="FF3300" w:val="clear"/>
                <w:lang w:eastAsia="pt-BR"/>
              </w:rPr>
              <w:t>assinado</w:t>
            </w:r>
            <w:r>
              <w:rPr>
                <w:rFonts w:eastAsia="Times New Roman" w:cs="Arial" w:ascii="Arial" w:hAnsi="Arial"/>
                <w:sz w:val="22"/>
                <w:szCs w:val="22"/>
                <w:highlight w:val="yellow"/>
                <w:shd w:fill="FF3300" w:val="clear"/>
                <w:lang w:eastAsia="pt-BR"/>
              </w:rPr>
              <w:t>)</w:t>
            </w:r>
          </w:p>
          <w:p>
            <w:pPr>
              <w:pStyle w:val="Normal"/>
              <w:shd w:val="clear" w:color="auto" w:fill="FFFF00"/>
              <w:spacing w:beforeAutospacing="1" w:after="0"/>
              <w:ind w:firstLine="11"/>
              <w:jc w:val="both"/>
              <w:rPr>
                <w:rFonts w:eastAsia="Times New Roman"/>
                <w:sz w:val="20"/>
                <w:szCs w:val="20"/>
                <w:highlight w:val="red"/>
                <w:highlight w:val="yellow"/>
                <w:lang w:eastAsia="pt-BR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highlight w:val="yellow"/>
                <w:shd w:fill="FF3300" w:val="clear"/>
                <w:lang w:eastAsia="pt-BR"/>
              </w:rPr>
              <w:t xml:space="preserve">No item 2.2 o responsável pelos ajustes na minuta do termo de cessão deve </w:t>
            </w:r>
            <w:r>
              <w:rPr>
                <w:rFonts w:eastAsia="Times New Roman" w:cs="Arial" w:ascii="Arial" w:hAnsi="Arial"/>
                <w:b/>
                <w:sz w:val="22"/>
                <w:szCs w:val="22"/>
                <w:highlight w:val="yellow"/>
                <w:shd w:fill="FF3300" w:val="clear"/>
                <w:lang w:eastAsia="pt-BR"/>
              </w:rPr>
              <w:t>e</w:t>
            </w:r>
            <w:r>
              <w:rPr>
                <w:rFonts w:cs="Arial" w:ascii="Arial" w:hAnsi="Arial"/>
                <w:b/>
                <w:sz w:val="22"/>
                <w:szCs w:val="22"/>
                <w:highlight w:val="yellow"/>
              </w:rPr>
              <w:t>specificar conforme o caso o nº de dependências do imóvel.</w:t>
            </w:r>
          </w:p>
        </w:tc>
      </w:tr>
    </w:tbl>
    <w:p>
      <w:pPr>
        <w:pStyle w:val="Normal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</w:r>
    </w:p>
    <w:p>
      <w:pPr>
        <w:pStyle w:val="TituloN1"/>
        <w:numPr>
          <w:ilvl w:val="0"/>
          <w:numId w:val="2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CLÁUSULA TERCEIRA: AUTORIZAÇÃO DE OCUPAÇÃO DO IMÓVEL</w:t>
      </w:r>
    </w:p>
    <w:p>
      <w:pPr>
        <w:pStyle w:val="PlainText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3.1</w:t>
      </w:r>
      <w:r>
        <w:rPr>
          <w:rFonts w:cs="Arial" w:ascii="Arial" w:hAnsi="Arial"/>
          <w:sz w:val="22"/>
          <w:szCs w:val="22"/>
        </w:rPr>
        <w:t xml:space="preserve"> Fica 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autorizado a ocupar o imóvel objeto da presente Cessão de Uso, feita a título precário e gratuito, no qual não haverá movimentação nem repasse de recursos a qualquer título, ressalvadas as hipóteses da obrigação de responder por perdas e danos causados ao bem público.</w:t>
      </w:r>
    </w:p>
    <w:p>
      <w:pPr>
        <w:pStyle w:val="PlainText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uloN1"/>
        <w:numPr>
          <w:ilvl w:val="0"/>
          <w:numId w:val="2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CLÁUSULA QUARTA: CONDIÇÕES IMPOSTAS AO CESSIONÁRIO</w:t>
      </w:r>
    </w:p>
    <w:p>
      <w:pPr>
        <w:pStyle w:val="BodyTextIndent3"/>
        <w:numPr>
          <w:ilvl w:val="1"/>
          <w:numId w:val="3"/>
        </w:numPr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e </w:t>
      </w:r>
      <w:r>
        <w:rPr>
          <w:rFonts w:cs="Arial" w:ascii="Arial" w:hAnsi="Arial"/>
          <w:sz w:val="22"/>
          <w:szCs w:val="22"/>
          <w:highlight w:val="yellow"/>
        </w:rPr>
        <w:t>a direção da Escola Municipal XXX</w:t>
      </w:r>
      <w:r>
        <w:rPr>
          <w:rFonts w:cs="Arial" w:ascii="Arial" w:hAnsi="Arial"/>
          <w:sz w:val="22"/>
          <w:szCs w:val="22"/>
        </w:rPr>
        <w:t xml:space="preserve"> obrigam-se a: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4.1.1</w:t>
      </w:r>
      <w:r>
        <w:rPr>
          <w:rFonts w:cs="Arial" w:ascii="Arial" w:hAnsi="Arial"/>
          <w:sz w:val="22"/>
          <w:szCs w:val="22"/>
        </w:rPr>
        <w:t xml:space="preserve"> Utilizar as instalações e bens na forma compatível com sua destinação e características, exclusivamente para os fins indicados no presente Termo, sob pena de revogação da Cessão de Uso;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4.1.2</w:t>
      </w:r>
      <w:r>
        <w:rPr>
          <w:rFonts w:cs="Arial" w:ascii="Arial" w:hAnsi="Arial"/>
          <w:sz w:val="22"/>
          <w:szCs w:val="22"/>
        </w:rPr>
        <w:t xml:space="preserve"> No prazo máximo de </w:t>
      </w:r>
      <w:r>
        <w:rPr>
          <w:rFonts w:cs="Arial" w:ascii="Arial" w:hAnsi="Arial"/>
          <w:sz w:val="22"/>
          <w:szCs w:val="22"/>
          <w:highlight w:val="yellow"/>
        </w:rPr>
        <w:t xml:space="preserve">XX dias/meses, </w:t>
      </w:r>
      <w:r>
        <w:rPr>
          <w:rFonts w:cs="Arial" w:ascii="Arial" w:hAnsi="Arial"/>
          <w:sz w:val="22"/>
          <w:szCs w:val="22"/>
        </w:rPr>
        <w:t xml:space="preserve">contado a partir do firmamento do presente Termo de Cessão de Uso de Imóvel, deverá dar-se a </w:t>
      </w:r>
      <w:r>
        <w:rPr/>
      </w:r>
      <w:sdt>
        <w:sdtPr>
          <w:dropDownList>
            <w:listItem w:displayText="construção da edifcação e implantação" w:value="construção da edifcação e implantação"/>
            <w:listItem w:displayText="implantação" w:value="implantação"/>
          </w:dropDownList>
        </w:sdtPr>
        <w:sdtContent>
          <w:r>
            <w:t>implantação</w:t>
          </w:r>
        </w:sdtContent>
      </w:sdt>
      <w:sdt>
        <w:sdtPr>
          <w:id w:val="1052751399"/>
        </w:sdtPr>
        <w:sdtContent>
          <w:r>
            <w:rPr>
              <w:rFonts w:cs="Arial" w:ascii="Arial" w:hAnsi="Arial"/>
              <w:sz w:val="22"/>
              <w:szCs w:val="22"/>
              <w:highlight w:val="yellow"/>
            </w:rPr>
            <w:t xml:space="preserve"> da Escola Municipal XXXX;</w:t>
          </w:r>
        </w:sdtContent>
      </w:sdt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4.1.3</w:t>
      </w:r>
      <w:r>
        <w:rPr>
          <w:rFonts w:cs="Arial" w:ascii="Arial" w:hAnsi="Arial"/>
          <w:sz w:val="22"/>
          <w:szCs w:val="22"/>
        </w:rPr>
        <w:t xml:space="preserve"> A cada 2 (dois) anos, a partir da data da ocupação do imóvel, 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deverá encaminhar à Secretaria de Estado da Educação,</w:t>
      </w:r>
      <w:r>
        <w:rPr>
          <w:rFonts w:cs="Arial" w:ascii="Arial" w:hAnsi="Arial"/>
          <w:color w:val="FF000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 "Relatório de Condições Gerais do Imóvel", conforme padrão estabelecido no Anexo IV, do Decreto Estadual nº 4.120</w:t>
      </w:r>
      <w:bookmarkStart w:id="1" w:name="_Hlk149234989"/>
      <w:r>
        <w:rPr>
          <w:rFonts w:cs="Arial" w:ascii="Arial" w:hAnsi="Arial"/>
          <w:sz w:val="22"/>
          <w:szCs w:val="22"/>
        </w:rPr>
        <w:t>/</w:t>
      </w:r>
      <w:bookmarkEnd w:id="1"/>
      <w:r>
        <w:rPr>
          <w:rFonts w:cs="Arial" w:ascii="Arial" w:hAnsi="Arial"/>
          <w:sz w:val="22"/>
          <w:szCs w:val="22"/>
        </w:rPr>
        <w:t>2016, indicando as medidas de conservação e manutenção tomadas no período.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4.1.4</w:t>
      </w:r>
      <w:r>
        <w:rPr>
          <w:rFonts w:cs="Arial" w:ascii="Arial" w:hAnsi="Arial"/>
          <w:sz w:val="22"/>
          <w:szCs w:val="22"/>
        </w:rPr>
        <w:t xml:space="preserve"> Apresentar, em até 60 (sessenta) dias a partir da assinatura deste Termo, apólice de seguro do imóvel contra danos físicos e materiais, com cláusula em que conste o Estado do Paraná como beneficiário, sob pena de revogação do Termo de Cessão de Uso;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4.1.5</w:t>
      </w:r>
      <w:r>
        <w:rPr>
          <w:rFonts w:cs="Arial" w:ascii="Arial" w:hAnsi="Arial"/>
          <w:sz w:val="22"/>
          <w:szCs w:val="22"/>
        </w:rPr>
        <w:t xml:space="preserve"> Responsabilizar-se pelas atividades que venha a exercer no interior do imóvel, bem como por quaisquer danos que eventualmente ocorram ao mesmo, durante todo o período em que mantiver uso das instalações;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4.1.6</w:t>
      </w:r>
      <w:r>
        <w:rPr>
          <w:rFonts w:cs="Arial" w:ascii="Arial" w:hAnsi="Arial"/>
          <w:sz w:val="22"/>
          <w:szCs w:val="22"/>
        </w:rPr>
        <w:t xml:space="preserve"> Zelar pelo imóvel cedido, realizando sua guarda, inclusive dos bens móveis de propriedade do Estado constantes no imóvel, bem como obedecer às normas técnicas e à legislação vigente;</w:t>
      </w:r>
    </w:p>
    <w:p>
      <w:pPr>
        <w:pStyle w:val="BodyTextIndent3"/>
        <w:numPr>
          <w:ilvl w:val="2"/>
          <w:numId w:val="4"/>
        </w:numPr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Responsabilizar-se por qualquer tipo de dano ou prejuízo que tenha sido causado às instalações;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4.1.8</w:t>
      </w:r>
      <w:r>
        <w:rPr>
          <w:rFonts w:cs="Arial" w:ascii="Arial" w:hAnsi="Arial"/>
          <w:sz w:val="22"/>
          <w:szCs w:val="22"/>
        </w:rPr>
        <w:t xml:space="preserve"> Prezar pelo bom relacionamento e convívio pacífico com a direção da/o </w:t>
      </w:r>
      <w:r>
        <w:rPr>
          <w:rFonts w:cs="Arial" w:ascii="Arial" w:hAnsi="Arial"/>
          <w:sz w:val="22"/>
          <w:szCs w:val="22"/>
          <w:highlight w:val="yellow"/>
        </w:rPr>
        <w:t>Escola/Colégio Estadual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  <w:highlight w:val="yellow"/>
        </w:rPr>
        <w:t>XXX</w:t>
      </w:r>
      <w:r>
        <w:rPr>
          <w:rFonts w:cs="Arial" w:ascii="Arial" w:hAnsi="Arial"/>
          <w:sz w:val="22"/>
          <w:szCs w:val="22"/>
        </w:rPr>
        <w:t xml:space="preserve"> e demais integrantes da comunidade escolar;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4.1.9</w:t>
      </w:r>
      <w:r>
        <w:rPr>
          <w:rFonts w:cs="Arial" w:ascii="Arial" w:hAnsi="Arial"/>
          <w:sz w:val="22"/>
          <w:szCs w:val="22"/>
        </w:rPr>
        <w:t xml:space="preserve"> Manter o imóvel em perfeito estado de emprego e conservação, como o declara ter recebido, devolvendo-os nas mesmas condições recebidas, uma vez findado ou rescindido o presente Termo;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4.1.10</w:t>
      </w:r>
      <w:r>
        <w:rPr>
          <w:rFonts w:cs="Arial" w:ascii="Arial" w:hAnsi="Arial"/>
          <w:sz w:val="22"/>
          <w:szCs w:val="22"/>
        </w:rPr>
        <w:t xml:space="preserve"> Informar imediatamente ao </w:t>
      </w:r>
      <w:r>
        <w:rPr>
          <w:rFonts w:cs="Arial" w:ascii="Arial" w:hAnsi="Arial"/>
          <w:sz w:val="22"/>
          <w:szCs w:val="22"/>
          <w:highlight w:val="yellow"/>
        </w:rPr>
        <w:t>NRE de XXX,</w:t>
      </w:r>
      <w:r>
        <w:rPr>
          <w:rFonts w:cs="Arial" w:ascii="Arial" w:hAnsi="Arial"/>
          <w:sz w:val="22"/>
          <w:szCs w:val="22"/>
        </w:rPr>
        <w:t xml:space="preserve"> sobre quaisquer irregularidades relacionadas ao uso do imóvel que possam prejudicar a integridade física do bem ou de qualquer turbação de posse que se verifique;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4.1.11</w:t>
      </w:r>
      <w:r>
        <w:rPr>
          <w:rFonts w:cs="Arial" w:ascii="Arial" w:hAnsi="Arial"/>
          <w:sz w:val="22"/>
          <w:szCs w:val="22"/>
        </w:rPr>
        <w:t xml:space="preserve"> Permitir livre acesso de servidores do Departamento de Patrimônio do Estado – DPE e da Secretaria de Estado da Educação às instalações do imóvel, quando devidamente identificados e em missão de fiscalização. 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4.1.12</w:t>
      </w:r>
      <w:r>
        <w:rPr>
          <w:rFonts w:cs="Arial" w:ascii="Arial" w:hAnsi="Arial"/>
          <w:sz w:val="22"/>
          <w:szCs w:val="22"/>
        </w:rPr>
        <w:t xml:space="preserve"> Conforme definido no Termo de Compromisso de Cessão de Uso (item </w:t>
      </w:r>
      <w:r>
        <w:rPr>
          <w:rFonts w:cs="Arial" w:ascii="Arial" w:hAnsi="Arial"/>
          <w:b/>
          <w:bCs/>
          <w:sz w:val="22"/>
          <w:szCs w:val="22"/>
        </w:rPr>
        <w:t>2.3.2</w:t>
      </w:r>
      <w:r>
        <w:rPr>
          <w:rFonts w:cs="Arial" w:ascii="Arial" w:hAnsi="Arial"/>
          <w:sz w:val="22"/>
          <w:szCs w:val="22"/>
        </w:rPr>
        <w:t>), cobrir as despesas que lhe couberem durante a vigência da cessão, tais como vigilância, energia, água, esgoto, conservação, impostos, taxas e tarifas.</w:t>
      </w:r>
    </w:p>
    <w:p>
      <w:pPr>
        <w:pStyle w:val="Normal"/>
        <w:spacing w:before="120" w:after="120"/>
        <w:jc w:val="both"/>
        <w:rPr>
          <w:rFonts w:ascii="Arial" w:hAnsi="Arial" w:eastAsia="Times New Roman" w:cs="Arial"/>
          <w:kern w:val="0"/>
          <w:sz w:val="22"/>
          <w:szCs w:val="22"/>
          <w:lang w:eastAsia="pt-BR" w:bidi="ar-SA"/>
        </w:rPr>
      </w:pPr>
      <w:r>
        <w:rPr>
          <w:rFonts w:eastAsia="Times New Roman" w:cs="Arial" w:ascii="Arial" w:hAnsi="Arial"/>
          <w:b/>
          <w:kern w:val="0"/>
          <w:sz w:val="22"/>
          <w:szCs w:val="22"/>
          <w:lang w:eastAsia="pt-BR" w:bidi="ar-SA"/>
        </w:rPr>
        <w:t>4.2</w:t>
      </w:r>
      <w:r>
        <w:rPr>
          <w:rFonts w:eastAsia="Times New Roman" w:cs="Arial" w:ascii="Arial" w:hAnsi="Arial"/>
          <w:kern w:val="0"/>
          <w:sz w:val="22"/>
          <w:szCs w:val="22"/>
          <w:lang w:eastAsia="pt-BR" w:bidi="ar-SA"/>
        </w:rPr>
        <w:t xml:space="preserve"> </w:t>
      </w:r>
      <w:r>
        <w:rPr>
          <w:rFonts w:cs="Arial" w:ascii="Arial" w:hAnsi="Arial"/>
          <w:kern w:val="2"/>
          <w:sz w:val="22"/>
          <w:szCs w:val="22"/>
        </w:rPr>
        <w:t xml:space="preserve">Na impossibilidade de cumprimento do prazo estabelecido no item </w:t>
      </w:r>
      <w:r>
        <w:rPr>
          <w:rFonts w:cs="Arial" w:ascii="Arial" w:hAnsi="Arial"/>
          <w:b/>
          <w:bCs/>
          <w:kern w:val="2"/>
          <w:sz w:val="22"/>
          <w:szCs w:val="22"/>
        </w:rPr>
        <w:t>4.1.2</w:t>
      </w:r>
      <w:r>
        <w:rPr>
          <w:rFonts w:cs="Arial" w:ascii="Arial" w:hAnsi="Arial"/>
          <w:kern w:val="2"/>
          <w:sz w:val="22"/>
          <w:szCs w:val="22"/>
        </w:rPr>
        <w:t>, em face de circunstâncias que justifiquem a reavaliação do prazo concedido, poderá a Secretaria de Estado da Educação prorrogar os prazos previstos.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4.3</w:t>
      </w:r>
      <w:r>
        <w:rPr>
          <w:rFonts w:cs="Arial" w:ascii="Arial" w:hAnsi="Arial"/>
          <w:sz w:val="22"/>
          <w:szCs w:val="22"/>
        </w:rPr>
        <w:t xml:space="preserve"> Fica vedada a subcessão, total ou parcial, do uso do imóvel de que trata este Termo a terceiros.</w:t>
      </w:r>
    </w:p>
    <w:p>
      <w:pPr>
        <w:pStyle w:val="Normal"/>
        <w:spacing w:before="120" w:after="12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</w:r>
    </w:p>
    <w:tbl>
      <w:tblPr>
        <w:tblW w:w="892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928"/>
      </w:tblGrid>
      <w:tr>
        <w:trPr/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00"/>
              <w:spacing w:beforeAutospacing="1" w:afterAutospacing="1"/>
              <w:rPr>
                <w:rFonts w:eastAsia="Times New Roman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sz w:val="22"/>
                <w:lang w:eastAsia="pt-BR"/>
              </w:rPr>
              <w:t>Not</w:t>
            </w:r>
            <w:r>
              <w:rPr>
                <w:rFonts w:eastAsia="Times New Roman"/>
                <w:b/>
                <w:bCs/>
                <w:sz w:val="22"/>
                <w:shd w:fill="FFFF00" w:val="clear"/>
                <w:lang w:eastAsia="pt-BR"/>
              </w:rPr>
              <w:t>a explicativa n.º 04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eastAsia="Times New Roman" w:cs="Arial"/>
                <w:sz w:val="22"/>
                <w:szCs w:val="22"/>
                <w:highlight w:val="red"/>
                <w:highlight w:val="yellow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hd w:fill="FFFF00" w:val="clear"/>
                <w:lang w:eastAsia="pt-BR"/>
              </w:rPr>
              <w:t xml:space="preserve">(Obs. As notas explicativas são meramente orientativas. Portanto, devem ser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00" w:val="clear"/>
                <w:lang w:eastAsia="pt-BR"/>
              </w:rPr>
              <w:t xml:space="preserve">excluídas da minuta do termo de permissão que será </w:t>
            </w:r>
            <w:r>
              <w:rPr>
                <w:rFonts w:eastAsia="Times New Roman" w:cs="Arial" w:ascii="Arial" w:hAnsi="Arial"/>
                <w:b/>
                <w:sz w:val="22"/>
                <w:szCs w:val="22"/>
                <w:highlight w:val="yellow"/>
                <w:shd w:fill="FF3300" w:val="clear"/>
                <w:lang w:eastAsia="pt-BR"/>
              </w:rPr>
              <w:t>assinado</w:t>
            </w:r>
            <w:r>
              <w:rPr>
                <w:rFonts w:eastAsia="Times New Roman" w:cs="Arial" w:ascii="Arial" w:hAnsi="Arial"/>
                <w:sz w:val="22"/>
                <w:szCs w:val="22"/>
                <w:highlight w:val="yellow"/>
                <w:shd w:fill="FF3300" w:val="clear"/>
                <w:lang w:eastAsia="pt-BR"/>
              </w:rPr>
              <w:t>)</w:t>
            </w:r>
          </w:p>
          <w:p>
            <w:pPr>
              <w:pStyle w:val="Normal"/>
              <w:shd w:val="clear" w:color="auto" w:fill="FFFF00"/>
              <w:spacing w:beforeAutospacing="1" w:after="0"/>
              <w:ind w:firstLine="11"/>
              <w:jc w:val="both"/>
              <w:rPr>
                <w:rFonts w:eastAsia="Times New Roman"/>
                <w:sz w:val="20"/>
                <w:szCs w:val="20"/>
                <w:highlight w:val="red"/>
                <w:highlight w:val="yellow"/>
                <w:lang w:eastAsia="pt-BR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highlight w:val="yellow"/>
                <w:shd w:fill="FF3300" w:val="clear"/>
                <w:lang w:eastAsia="pt-BR"/>
              </w:rPr>
              <w:t xml:space="preserve">No item </w:t>
            </w:r>
            <w:r>
              <w:rPr>
                <w:rFonts w:eastAsia="Times New Roman" w:cs="Arial" w:ascii="Arial" w:hAnsi="Arial"/>
                <w:b/>
                <w:sz w:val="22"/>
                <w:szCs w:val="22"/>
                <w:highlight w:val="yellow"/>
                <w:shd w:fill="FF3300" w:val="clear"/>
                <w:lang w:eastAsia="pt-BR"/>
              </w:rPr>
              <w:t>4.1.2</w:t>
            </w:r>
            <w:r>
              <w:rPr>
                <w:rFonts w:eastAsia="Times New Roman" w:cs="Arial" w:ascii="Arial" w:hAnsi="Arial"/>
                <w:sz w:val="22"/>
                <w:szCs w:val="22"/>
                <w:highlight w:val="yellow"/>
                <w:shd w:fill="FF3300" w:val="clear"/>
                <w:lang w:eastAsia="pt-BR"/>
              </w:rPr>
              <w:t xml:space="preserve"> o responsável pelos ajustes na minuta do termo de cessão deve e</w:t>
            </w:r>
            <w:r>
              <w:rPr>
                <w:rFonts w:cs="Arial" w:ascii="Arial" w:hAnsi="Arial"/>
                <w:sz w:val="22"/>
                <w:szCs w:val="22"/>
                <w:highlight w:val="yellow"/>
              </w:rPr>
              <w:t>specificar, conforme o caso, o prazo para a implantação da escola municipal.</w:t>
            </w:r>
          </w:p>
        </w:tc>
      </w:tr>
    </w:tbl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uloN1"/>
        <w:numPr>
          <w:ilvl w:val="0"/>
          <w:numId w:val="2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CLÁUSULA QUINTA: DA VIGÊNCIA</w:t>
      </w:r>
    </w:p>
    <w:p>
      <w:pPr>
        <w:pStyle w:val="NormalWeb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5.1</w:t>
      </w:r>
      <w:r>
        <w:rPr>
          <w:rFonts w:cs="Arial" w:ascii="Arial" w:hAnsi="Arial"/>
          <w:sz w:val="22"/>
          <w:szCs w:val="22"/>
        </w:rPr>
        <w:t xml:space="preserve"> A vigência, estabelecida no cabeçalho do presente Termo de Cessão, deverá ser comprovada pela apresentação da publicação do Extrato do Termo de Cessão no Diário Oficial do Paraná.</w:t>
      </w:r>
    </w:p>
    <w:p>
      <w:pPr>
        <w:pStyle w:val="NormalWeb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5.2</w:t>
      </w:r>
      <w:r>
        <w:rPr>
          <w:rFonts w:cs="Arial" w:ascii="Arial" w:hAnsi="Arial"/>
          <w:sz w:val="22"/>
          <w:szCs w:val="22"/>
        </w:rPr>
        <w:t xml:space="preserve"> Havendo interesse na prorrogação da vigência, 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deverá protocolar o pedido, no mínimo, sessenta dias antes do encerramento da vigência, sob pena de implicar novo procedimento de cessão gratuita de uso.</w:t>
      </w:r>
    </w:p>
    <w:p>
      <w:pPr>
        <w:pStyle w:val="NormalWeb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uloN1"/>
        <w:numPr>
          <w:ilvl w:val="0"/>
          <w:numId w:val="2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CLÁUSULA SEXTA: DA PUBLICIDADE DA OCUPAÇÃO</w:t>
      </w:r>
      <w:bookmarkStart w:id="2" w:name="_Hlk136334918"/>
      <w:bookmarkEnd w:id="2"/>
    </w:p>
    <w:p>
      <w:pPr>
        <w:pStyle w:val="PlainText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6.1</w:t>
      </w:r>
      <w:r>
        <w:rPr>
          <w:rFonts w:cs="Arial" w:ascii="Arial" w:hAnsi="Arial"/>
          <w:sz w:val="22"/>
          <w:szCs w:val="22"/>
        </w:rPr>
        <w:t xml:space="preserve"> </w:t>
        <w:tab/>
        <w:t>No ato de ocupação do imóvel, deverá ser instalada a Placa Metálica de Inauguração definida no Modelo a ser disponibilizado pela SEAP, para Situação de Inauguração, que deverá permanecer no local.</w:t>
      </w:r>
    </w:p>
    <w:p>
      <w:pPr>
        <w:pStyle w:val="PlainText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6.1.1</w:t>
      </w:r>
      <w:r>
        <w:rPr>
          <w:rFonts w:cs="Arial" w:ascii="Arial" w:hAnsi="Arial"/>
          <w:sz w:val="22"/>
          <w:szCs w:val="22"/>
        </w:rPr>
        <w:tab/>
        <w:t>O prazo para instalação da Placa de Inauguração deverá ser de até 120 (cento e vinte) dias após a ocupação do imóvel, respeitando-se os prazos para ocupação do bem, dispostos na Cláusula Quarta.</w:t>
      </w:r>
    </w:p>
    <w:p>
      <w:pPr>
        <w:pStyle w:val="PlainText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6.2</w:t>
      </w:r>
      <w:r>
        <w:rPr>
          <w:rFonts w:cs="Arial" w:ascii="Arial" w:hAnsi="Arial"/>
          <w:sz w:val="22"/>
          <w:szCs w:val="22"/>
        </w:rPr>
        <w:tab/>
        <w:t xml:space="preserve">Deverá 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encaminhar ao </w:t>
      </w:r>
      <w:r>
        <w:rPr>
          <w:rFonts w:cs="Arial" w:ascii="Arial" w:hAnsi="Arial"/>
          <w:sz w:val="22"/>
          <w:szCs w:val="22"/>
          <w:highlight w:val="yellow"/>
        </w:rPr>
        <w:t>NRE de XXX,</w:t>
      </w:r>
      <w:r>
        <w:rPr>
          <w:rFonts w:cs="Arial" w:ascii="Arial" w:hAnsi="Arial"/>
          <w:sz w:val="22"/>
          <w:szCs w:val="22"/>
        </w:rPr>
        <w:t xml:space="preserve"> relatório fotográfico que comprove a instalação de placas de publicidade da ocupação, respeitando-se o prazo delimitado no item </w:t>
      </w:r>
      <w:r>
        <w:rPr>
          <w:rFonts w:cs="Arial" w:ascii="Arial" w:hAnsi="Arial"/>
          <w:b/>
          <w:bCs/>
          <w:sz w:val="22"/>
          <w:szCs w:val="22"/>
        </w:rPr>
        <w:t>6.1.1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PlainText"/>
        <w:numPr>
          <w:ilvl w:val="1"/>
          <w:numId w:val="5"/>
        </w:numPr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placa descrita no item </w:t>
      </w:r>
      <w:r>
        <w:rPr>
          <w:rFonts w:cs="Arial" w:ascii="Arial" w:hAnsi="Arial"/>
          <w:b/>
          <w:bCs/>
          <w:sz w:val="22"/>
          <w:szCs w:val="22"/>
        </w:rPr>
        <w:t>6.1</w:t>
      </w:r>
      <w:r>
        <w:rPr>
          <w:rFonts w:cs="Arial" w:ascii="Arial" w:hAnsi="Arial"/>
          <w:sz w:val="22"/>
          <w:szCs w:val="22"/>
        </w:rPr>
        <w:t xml:space="preserve"> deverá especificar:</w:t>
      </w:r>
    </w:p>
    <w:p>
      <w:pPr>
        <w:pStyle w:val="BodyTextIndent3"/>
        <w:numPr>
          <w:ilvl w:val="2"/>
          <w:numId w:val="5"/>
        </w:numPr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Razão Social do </w:t>
      </w:r>
      <w:r>
        <w:rPr>
          <w:rFonts w:cs="Arial" w:ascii="Arial" w:hAnsi="Arial"/>
          <w:b/>
          <w:bCs/>
          <w:sz w:val="22"/>
          <w:szCs w:val="22"/>
        </w:rPr>
        <w:t>CEDENTE</w:t>
      </w:r>
      <w:r>
        <w:rPr>
          <w:rFonts w:cs="Arial" w:ascii="Arial" w:hAnsi="Arial"/>
          <w:sz w:val="22"/>
          <w:szCs w:val="22"/>
        </w:rPr>
        <w:t xml:space="preserve"> do imóvel;</w:t>
      </w:r>
    </w:p>
    <w:p>
      <w:pPr>
        <w:pStyle w:val="BodyTextIndent3"/>
        <w:numPr>
          <w:ilvl w:val="2"/>
          <w:numId w:val="5"/>
        </w:numPr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Razão Social do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>;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6.3.3</w:t>
      </w:r>
      <w:r>
        <w:rPr>
          <w:rFonts w:cs="Arial" w:ascii="Arial" w:hAnsi="Arial"/>
          <w:sz w:val="22"/>
          <w:szCs w:val="22"/>
        </w:rPr>
        <w:t xml:space="preserve"> a utilização definida no presente Termo;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6.3.4</w:t>
      </w:r>
      <w:r>
        <w:rPr>
          <w:rFonts w:cs="Arial" w:ascii="Arial" w:hAnsi="Arial"/>
          <w:sz w:val="22"/>
          <w:szCs w:val="22"/>
        </w:rPr>
        <w:t xml:space="preserve"> a indicação do ato autorizador da cessão;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6.3.5</w:t>
      </w:r>
      <w:r>
        <w:rPr>
          <w:rFonts w:cs="Arial" w:ascii="Arial" w:hAnsi="Arial"/>
          <w:sz w:val="22"/>
          <w:szCs w:val="22"/>
        </w:rPr>
        <w:tab/>
        <w:t>a especificação dos órgãos fiscalizadores e gestores do termo;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6.3.6</w:t>
      </w:r>
      <w:r>
        <w:rPr>
          <w:rFonts w:cs="Arial" w:ascii="Arial" w:hAnsi="Arial"/>
          <w:sz w:val="22"/>
          <w:szCs w:val="22"/>
        </w:rPr>
        <w:tab/>
        <w:t>o canal de contato do Órgão Gestor, para denúncias, reclamações ou elogios, conforme especificado no presente Termo;</w:t>
      </w:r>
    </w:p>
    <w:p>
      <w:pPr>
        <w:pStyle w:val="BodyTextIndent3"/>
        <w:spacing w:before="120" w:after="120"/>
        <w:ind w:left="0" w:hanging="0"/>
        <w:jc w:val="both"/>
        <w:rPr/>
      </w:pPr>
      <w:r>
        <w:rPr>
          <w:rFonts w:cs="Arial" w:ascii="Arial" w:hAnsi="Arial"/>
          <w:b/>
          <w:sz w:val="22"/>
          <w:szCs w:val="22"/>
        </w:rPr>
        <w:t>6.3.7</w:t>
      </w:r>
      <w:r>
        <w:rPr>
          <w:rFonts w:cs="Arial" w:ascii="Arial" w:hAnsi="Arial"/>
          <w:sz w:val="22"/>
          <w:szCs w:val="22"/>
        </w:rPr>
        <w:tab/>
        <w:t xml:space="preserve">a inclusão do Brasão do Estado do Paraná, conforme padrão e as normas estabelecidas no Manual De Uso De Marca, disponível em: </w:t>
      </w:r>
      <w:hyperlink r:id="rId2">
        <w:r>
          <w:rPr>
            <w:rStyle w:val="LinkdaInternet"/>
            <w:rFonts w:cs="Arial" w:ascii="Arial" w:hAnsi="Arial"/>
            <w:sz w:val="22"/>
            <w:szCs w:val="22"/>
          </w:rPr>
          <w:t>https://www.comunicacao.pr.gov.br/Pagina/Identidade-Visual-do-Governo-do-Parana</w:t>
        </w:r>
      </w:hyperlink>
      <w:r>
        <w:rPr>
          <w:rStyle w:val="LinkdaInternet"/>
          <w:rFonts w:cs="Arial" w:ascii="Arial" w:hAnsi="Arial"/>
          <w:sz w:val="22"/>
          <w:szCs w:val="22"/>
        </w:rPr>
        <w:t>.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6.4</w:t>
      </w:r>
      <w:r>
        <w:rPr>
          <w:rFonts w:cs="Arial" w:ascii="Arial" w:hAnsi="Arial"/>
          <w:sz w:val="22"/>
          <w:szCs w:val="22"/>
        </w:rPr>
        <w:tab/>
        <w:t>Deverá ser respeitado disposto no §1º do art. 37 da Constituição Federal, a saber: “a publicidade dos atos, programas, obras, serviços e campanhas dos órgãos públicos deverá ter caráter educativo, informativo ou de orientação social, dela não podendo constar nomes, símbolos ou imagens que caracterizem promoção pessoal de autoridades ou servidores públicos”.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6.5</w:t>
      </w:r>
      <w:r>
        <w:rPr>
          <w:rFonts w:cs="Arial" w:ascii="Arial" w:hAnsi="Arial"/>
          <w:sz w:val="22"/>
          <w:szCs w:val="22"/>
        </w:rPr>
        <w:tab/>
        <w:t xml:space="preserve">Em caso de cumprimento de encargo em ano em que se realizar eleições, não deverá ser instalada a placa descrita no item </w:t>
      </w:r>
      <w:r>
        <w:rPr>
          <w:rFonts w:cs="Arial" w:ascii="Arial" w:hAnsi="Arial"/>
          <w:b/>
          <w:bCs/>
          <w:sz w:val="22"/>
          <w:szCs w:val="22"/>
        </w:rPr>
        <w:t>6.1</w:t>
      </w:r>
      <w:r>
        <w:rPr>
          <w:rFonts w:cs="Arial" w:ascii="Arial" w:hAnsi="Arial"/>
          <w:sz w:val="22"/>
          <w:szCs w:val="22"/>
        </w:rPr>
        <w:t xml:space="preserve"> no decorrer do ano eleitoral.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6.5.1</w:t>
      </w:r>
      <w:r>
        <w:rPr>
          <w:rFonts w:cs="Arial" w:ascii="Arial" w:hAnsi="Arial"/>
          <w:sz w:val="22"/>
          <w:szCs w:val="22"/>
        </w:rPr>
        <w:tab/>
        <w:t xml:space="preserve">Exclusivamente na situação elencada no Item </w:t>
      </w:r>
      <w:r>
        <w:rPr>
          <w:rFonts w:cs="Arial" w:ascii="Arial" w:hAnsi="Arial"/>
          <w:b/>
          <w:bCs/>
          <w:sz w:val="22"/>
          <w:szCs w:val="22"/>
        </w:rPr>
        <w:t>6.5</w:t>
      </w:r>
      <w:r>
        <w:rPr>
          <w:rFonts w:cs="Arial" w:ascii="Arial" w:hAnsi="Arial"/>
          <w:sz w:val="22"/>
          <w:szCs w:val="22"/>
        </w:rPr>
        <w:t xml:space="preserve">, para devida publicidade da ocupação em momento oportuno, a instalação da placa definida no item </w:t>
      </w:r>
      <w:r>
        <w:rPr>
          <w:rFonts w:cs="Arial" w:ascii="Arial" w:hAnsi="Arial"/>
          <w:b/>
          <w:bCs/>
          <w:sz w:val="22"/>
          <w:szCs w:val="22"/>
        </w:rPr>
        <w:t>6.1</w:t>
      </w:r>
      <w:r>
        <w:rPr>
          <w:rFonts w:cs="Arial" w:ascii="Arial" w:hAnsi="Arial"/>
          <w:sz w:val="22"/>
          <w:szCs w:val="22"/>
        </w:rPr>
        <w:t xml:space="preserve"> deverá ser realizada expressamente em ano subsequente ao exercício eleitoral, em prazo de </w:t>
      </w:r>
      <w:bookmarkStart w:id="3" w:name="_Hlk142291245"/>
      <w:r>
        <w:rPr>
          <w:rFonts w:cs="Arial" w:ascii="Arial" w:hAnsi="Arial"/>
          <w:sz w:val="22"/>
          <w:szCs w:val="22"/>
        </w:rPr>
        <w:t xml:space="preserve">até 90 (noventa) dias </w:t>
      </w:r>
      <w:bookmarkEnd w:id="3"/>
      <w:r>
        <w:rPr>
          <w:rFonts w:cs="Arial" w:ascii="Arial" w:hAnsi="Arial"/>
          <w:sz w:val="22"/>
          <w:szCs w:val="22"/>
        </w:rPr>
        <w:t>contados a partir da finalização do período eleitoral.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uloN1"/>
        <w:numPr>
          <w:ilvl w:val="0"/>
          <w:numId w:val="2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CLÁUSULA SÉTIMA: DAS DESPESAS</w:t>
      </w:r>
    </w:p>
    <w:p>
      <w:pPr>
        <w:pStyle w:val="PlainText"/>
        <w:spacing w:before="120" w:after="120"/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cs="Arial" w:ascii="Arial" w:hAnsi="Arial"/>
          <w:b/>
          <w:sz w:val="22"/>
          <w:szCs w:val="22"/>
        </w:rPr>
        <w:t>7.1</w:t>
      </w:r>
      <w:r>
        <w:rPr>
          <w:rStyle w:val="Markedcontent"/>
          <w:rFonts w:cs="Arial" w:ascii="Arial" w:hAnsi="Arial"/>
          <w:sz w:val="22"/>
          <w:szCs w:val="22"/>
        </w:rPr>
        <w:t xml:space="preserve"> Todas as despesas necessárias à utilização do bem, deverão observar o Termo de Compromisso da Cessão de Uso, o qual constitui parte integrante do presente Termo.</w:t>
      </w:r>
      <w:bookmarkStart w:id="4" w:name="_Hlk142577958"/>
      <w:bookmarkEnd w:id="4"/>
    </w:p>
    <w:p>
      <w:pPr>
        <w:pStyle w:val="PlainText"/>
        <w:spacing w:before="120" w:after="120"/>
        <w:jc w:val="both"/>
        <w:rPr>
          <w:rStyle w:val="Markedcontent"/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TituloN1"/>
        <w:numPr>
          <w:ilvl w:val="0"/>
          <w:numId w:val="2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CLÁUSULA OITAVA: QUANTO À INTERVENÇÕES NO IMÓVEL</w:t>
      </w:r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8.1</w:t>
      </w:r>
      <w:r>
        <w:rPr>
          <w:rFonts w:cs="Arial" w:ascii="Arial" w:hAnsi="Arial"/>
          <w:sz w:val="22"/>
          <w:szCs w:val="22"/>
        </w:rPr>
        <w:t xml:space="preserve"> Poderá 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efetuar reparos no imóvel (pinturas, troca de instalações elétricas, hidráulicas, manutenção em telhados e calhas, esquadrias, forros, pisos, etc.)  e manutenção predial (limpeza de caixa d’água, calhas, roçada, limpezas em geral, etc.) a partir da publicação do extrato do Termo de Cessão no Diário Oficial.</w:t>
      </w:r>
      <w:bookmarkStart w:id="5" w:name="_Hlk136505820"/>
      <w:bookmarkEnd w:id="5"/>
    </w:p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8.2</w:t>
      </w:r>
      <w:r>
        <w:rPr>
          <w:rFonts w:cs="Arial" w:ascii="Arial" w:hAnsi="Arial"/>
          <w:sz w:val="22"/>
          <w:szCs w:val="22"/>
        </w:rPr>
        <w:t xml:space="preserve"> Poderá 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efetuar reformas (ampliações, construções e/ou demolições, etc.) no imóvel cedido mediante prévia MANIFESTAÇÃO da Secretaria de Estado da Educação e AUTORIZAÇÃO do Titular da Secretaria de Estado da Administração e da Previdência. Deverá ser solicitada a autorização com encaminhamento de:</w:t>
      </w:r>
    </w:p>
    <w:p>
      <w:pPr>
        <w:pStyle w:val="BodyTextIndent3"/>
        <w:numPr>
          <w:ilvl w:val="2"/>
          <w:numId w:val="7"/>
        </w:numPr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anteprojeto de arquitetura elaborado por profissional habilitado;</w:t>
      </w:r>
    </w:p>
    <w:p>
      <w:pPr>
        <w:pStyle w:val="BodyTextIndent3"/>
        <w:numPr>
          <w:ilvl w:val="2"/>
          <w:numId w:val="7"/>
        </w:numPr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anotação de Responsabilidade Técnica – ART ou Registro de Responsabilidade Técnica – RRT do anteprojeto de arquitetura;</w:t>
      </w:r>
    </w:p>
    <w:p>
      <w:pPr>
        <w:pStyle w:val="BodyTextIndent3"/>
        <w:numPr>
          <w:ilvl w:val="2"/>
          <w:numId w:val="7"/>
        </w:numPr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declaração de Responsabilidade quanto à contratação dos demais projetos de engenharia necessários à execução da obra;</w:t>
      </w:r>
    </w:p>
    <w:p>
      <w:pPr>
        <w:pStyle w:val="BodyTextIndent3"/>
        <w:numPr>
          <w:ilvl w:val="2"/>
          <w:numId w:val="7"/>
        </w:numPr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declaração de elaboração de projetos e execução de obras com acompanhamento de profissional técnico habilitado.</w:t>
      </w:r>
    </w:p>
    <w:p>
      <w:pPr>
        <w:pStyle w:val="BodyTextIndent3"/>
        <w:numPr>
          <w:ilvl w:val="1"/>
          <w:numId w:val="7"/>
        </w:numPr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Em caso de autorização para ampliação ou demolição, 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deverá efetuar a pertinente averbação da obra em cartório, por meio de requerimento formulado pelo </w:t>
      </w:r>
      <w:r>
        <w:rPr>
          <w:rFonts w:cs="Arial" w:ascii="Arial" w:hAnsi="Arial"/>
          <w:b/>
          <w:bCs/>
          <w:sz w:val="22"/>
          <w:szCs w:val="22"/>
        </w:rPr>
        <w:t>CEDENTE</w:t>
      </w:r>
      <w:r>
        <w:rPr>
          <w:rFonts w:cs="Arial" w:ascii="Arial" w:hAnsi="Arial"/>
          <w:sz w:val="22"/>
          <w:szCs w:val="22"/>
        </w:rPr>
        <w:t xml:space="preserve"> e responsabilizar-se por todos os demais aspectos legais e cíveis inerentes à mesma.</w:t>
      </w:r>
    </w:p>
    <w:p>
      <w:pPr>
        <w:pStyle w:val="BodyTextIndent3"/>
        <w:numPr>
          <w:ilvl w:val="1"/>
          <w:numId w:val="7"/>
        </w:numPr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declara estar ciente de que não receberá qualquer tipo de indenização sobre investimentos que fizer no imóvel, independentemente de sua natureza, ressalvado o disposto no item </w:t>
      </w:r>
      <w:r>
        <w:rPr>
          <w:rFonts w:cs="Arial" w:ascii="Arial" w:hAnsi="Arial"/>
          <w:b/>
          <w:bCs/>
          <w:sz w:val="22"/>
          <w:szCs w:val="22"/>
        </w:rPr>
        <w:t>9.1.4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Web"/>
        <w:spacing w:before="120" w:after="12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ituloN1"/>
        <w:numPr>
          <w:ilvl w:val="0"/>
          <w:numId w:val="2"/>
        </w:numPr>
        <w:pBdr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CLÁUSULA NONA: DA REVOGAÇÃO E EXTINÇÃO DO TERMO DE CESSÃO DE USO DO IMÓVEL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9.1</w:t>
      </w:r>
      <w:r>
        <w:rPr>
          <w:rFonts w:cs="Arial" w:ascii="Arial" w:hAnsi="Arial"/>
          <w:sz w:val="22"/>
          <w:szCs w:val="22"/>
        </w:rPr>
        <w:t xml:space="preserve"> Será considerado revogado o presente Termo de Cessão, sem direito ao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de qualquer indenização, inclusive por benfeitorias que realizar, independentemente de ato especial, nos casos em que: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9.1.1</w:t>
      </w:r>
      <w:r>
        <w:rPr>
          <w:rFonts w:cs="Arial" w:ascii="Arial" w:hAnsi="Arial"/>
          <w:sz w:val="22"/>
          <w:szCs w:val="22"/>
        </w:rPr>
        <w:t xml:space="preserve"> ao imóvel, no todo ou em parte, vier a ser dada destinação diversa da prevista neste Termo de Cessão;</w:t>
      </w:r>
    </w:p>
    <w:p>
      <w:pPr>
        <w:pStyle w:val="BodyTextIndent3"/>
        <w:numPr>
          <w:ilvl w:val="2"/>
          <w:numId w:val="6"/>
        </w:numPr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ocorrer a subcessão do uso do imóvel, total ou parcial, a terceiros;</w:t>
      </w:r>
    </w:p>
    <w:p>
      <w:pPr>
        <w:pStyle w:val="BodyTextIndent3"/>
        <w:numPr>
          <w:ilvl w:val="2"/>
          <w:numId w:val="6"/>
        </w:numPr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deixar de exercer suas atividades específicas;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9.1.4</w:t>
      </w:r>
      <w:r>
        <w:rPr>
          <w:rFonts w:cs="Arial" w:ascii="Arial" w:hAnsi="Arial"/>
          <w:sz w:val="22"/>
          <w:szCs w:val="22"/>
        </w:rPr>
        <w:t xml:space="preserve"> houver interesse público superveniente, ressalvando-se, neste caso, a indenização por benfeitorias, se realizadas sob prévia e indispensável autorização da Secretaria de Estado da Administração e da Previdência;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9.1.5</w:t>
      </w:r>
      <w:r>
        <w:rPr>
          <w:rFonts w:cs="Arial" w:ascii="Arial" w:hAnsi="Arial"/>
          <w:sz w:val="22"/>
          <w:szCs w:val="22"/>
        </w:rPr>
        <w:t xml:space="preserve"> houver interesse do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na devolução do imóvel, mediante justificativa, respeitando o prazo previsto no item </w:t>
      </w:r>
      <w:r>
        <w:rPr>
          <w:rFonts w:cs="Arial" w:ascii="Arial" w:hAnsi="Arial"/>
          <w:b/>
          <w:bCs/>
          <w:sz w:val="22"/>
          <w:szCs w:val="22"/>
        </w:rPr>
        <w:t>9.2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BodyTextIndent3"/>
        <w:numPr>
          <w:ilvl w:val="1"/>
          <w:numId w:val="6"/>
        </w:numPr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, na desocupação do imóvel, deverá formalizar o evento ao </w:t>
      </w:r>
      <w:r>
        <w:rPr>
          <w:rFonts w:cs="Arial" w:ascii="Arial" w:hAnsi="Arial"/>
          <w:sz w:val="22"/>
          <w:szCs w:val="22"/>
          <w:highlight w:val="yellow"/>
        </w:rPr>
        <w:t>NRE de XXX</w:t>
      </w:r>
      <w:r>
        <w:rPr>
          <w:rFonts w:cs="Arial" w:ascii="Arial" w:hAnsi="Arial"/>
          <w:sz w:val="22"/>
          <w:szCs w:val="22"/>
        </w:rPr>
        <w:t>, em prazo mínimo de 30 (trinta) dias de antecedência da desocupação, para efetivação da vistoria das condições do imóvel (anexo III do Decreto Estadual nº 4.120/2016), devendo comprovar: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9.2.1</w:t>
      </w:r>
      <w:r>
        <w:rPr>
          <w:rFonts w:cs="Arial" w:ascii="Arial" w:hAnsi="Arial"/>
          <w:sz w:val="22"/>
          <w:szCs w:val="22"/>
        </w:rPr>
        <w:t xml:space="preserve"> a inexistência de débitos relativos ao imóvel, bem como as providências devidas ao encerramento da prestação de serviços de energia elétrica, água e outros decorrentes da cessão;</w:t>
      </w:r>
    </w:p>
    <w:p>
      <w:pPr>
        <w:pStyle w:val="BodyTextIndent3"/>
        <w:numPr>
          <w:ilvl w:val="2"/>
          <w:numId w:val="6"/>
        </w:numPr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garantia da integridade física do bem, por meio do encaminhamento do "Relatório das Condições Gerais do Imóvel" (Anexo IV, do Decreto Estadual nº 4.120/2016), indicando as medidas de conservação e manutenção tomadas no período;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bookmarkStart w:id="6" w:name="_Hlk142291695"/>
      <w:bookmarkEnd w:id="6"/>
      <w:r>
        <w:rPr>
          <w:rFonts w:cs="Arial" w:ascii="Arial" w:hAnsi="Arial"/>
          <w:b/>
          <w:sz w:val="22"/>
          <w:szCs w:val="22"/>
        </w:rPr>
        <w:t>9.3</w:t>
      </w:r>
      <w:r>
        <w:rPr>
          <w:rFonts w:cs="Arial" w:ascii="Arial" w:hAnsi="Arial"/>
          <w:sz w:val="22"/>
          <w:szCs w:val="22"/>
        </w:rPr>
        <w:t xml:space="preserve"> 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responsabiliza-se pela entrega do imóvel nas condições recebidas na Vistoria Inicial (anexo III do Decreto Estadual n.º 4.120/2016), excetuadas benfeitorias autorizadas.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9.4</w:t>
      </w:r>
      <w:r>
        <w:rPr>
          <w:rFonts w:cs="Arial" w:ascii="Arial" w:hAnsi="Arial"/>
          <w:sz w:val="22"/>
          <w:szCs w:val="22"/>
        </w:rPr>
        <w:t xml:space="preserve"> Havendo interesse na rescisão por parte do </w:t>
      </w:r>
      <w:r>
        <w:rPr>
          <w:rFonts w:cs="Arial" w:ascii="Arial" w:hAnsi="Arial"/>
          <w:b/>
          <w:bCs/>
          <w:sz w:val="22"/>
          <w:szCs w:val="22"/>
        </w:rPr>
        <w:t>CEDENTE</w:t>
      </w:r>
      <w:r>
        <w:rPr>
          <w:rFonts w:cs="Arial" w:ascii="Arial" w:hAnsi="Arial"/>
          <w:sz w:val="22"/>
          <w:szCs w:val="22"/>
        </w:rPr>
        <w:t xml:space="preserve">, o chefe do </w:t>
      </w:r>
      <w:r>
        <w:rPr>
          <w:rFonts w:cs="Arial" w:ascii="Arial" w:hAnsi="Arial"/>
          <w:sz w:val="22"/>
          <w:szCs w:val="22"/>
          <w:highlight w:val="yellow"/>
        </w:rPr>
        <w:t>NRE de XXX</w:t>
      </w:r>
      <w:r>
        <w:rPr>
          <w:rFonts w:cs="Arial" w:ascii="Arial" w:hAnsi="Arial"/>
          <w:sz w:val="22"/>
          <w:szCs w:val="22"/>
        </w:rPr>
        <w:t xml:space="preserve"> deverá comunicar ao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>, por escrito, com antecedência mínima de 30 (trinta) dias para a desocupação, prorrogáveis por igual período, mediante justificativa.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bookmarkStart w:id="7" w:name="_Hlk142291695"/>
      <w:bookmarkEnd w:id="7"/>
      <w:r>
        <w:rPr>
          <w:rFonts w:cs="Arial" w:ascii="Arial" w:hAnsi="Arial"/>
          <w:b/>
          <w:sz w:val="22"/>
          <w:szCs w:val="22"/>
        </w:rPr>
        <w:t>9.5</w:t>
      </w:r>
      <w:r>
        <w:rPr>
          <w:rFonts w:cs="Arial" w:ascii="Arial" w:hAnsi="Arial"/>
          <w:sz w:val="22"/>
          <w:szCs w:val="22"/>
        </w:rPr>
        <w:t xml:space="preserve"> Ao término da Cessão de Uso por solicitação das partes, as chaves do imóvel deverão ser entregues ao </w:t>
      </w:r>
      <w:r>
        <w:rPr>
          <w:rFonts w:cs="Arial" w:ascii="Arial" w:hAnsi="Arial"/>
          <w:sz w:val="22"/>
          <w:szCs w:val="22"/>
          <w:highlight w:val="yellow"/>
        </w:rPr>
        <w:t>NRE de XXX,</w:t>
      </w:r>
      <w:r>
        <w:rPr>
          <w:rFonts w:cs="Arial" w:ascii="Arial" w:hAnsi="Arial"/>
          <w:sz w:val="22"/>
          <w:szCs w:val="22"/>
        </w:rPr>
        <w:t xml:space="preserve"> ou em local e prazo especificado por este, devendo neste ato ser firmado o Termo de Entrega e Recebimento de Chaves, retornando a posse do imóvel ao patrimônio do Estado do Paraná. 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9.6</w:t>
      </w:r>
      <w:r>
        <w:rPr>
          <w:rFonts w:cs="Arial" w:ascii="Arial" w:hAnsi="Arial"/>
          <w:sz w:val="22"/>
          <w:szCs w:val="22"/>
        </w:rPr>
        <w:t xml:space="preserve"> Ao final do prazo da vigência do presente Termo, as chaves do imóvel deverão ser entregues imediatamente ao </w:t>
      </w:r>
      <w:r>
        <w:rPr>
          <w:rFonts w:cs="Arial" w:ascii="Arial" w:hAnsi="Arial"/>
          <w:sz w:val="22"/>
          <w:szCs w:val="22"/>
          <w:highlight w:val="yellow"/>
        </w:rPr>
        <w:t>NRE de XXX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BodyTextIndent3"/>
        <w:pBdr/>
        <w:spacing w:before="120" w:after="120"/>
        <w:ind w:left="0" w:hanging="0"/>
        <w:jc w:val="both"/>
        <w:rPr/>
      </w:pPr>
      <w:r>
        <w:rPr/>
      </w:r>
      <w:bookmarkStart w:id="8" w:name="_Hlk142300214"/>
      <w:bookmarkStart w:id="9" w:name="_Hlk142300214"/>
      <w:bookmarkEnd w:id="9"/>
    </w:p>
    <w:p>
      <w:pPr>
        <w:pStyle w:val="TituloN1"/>
        <w:numPr>
          <w:ilvl w:val="0"/>
          <w:numId w:val="2"/>
        </w:numPr>
        <w:pBdr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CLÁUSULA DÉCIMA: DA FISCALIZAÇÃO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10.1</w:t>
      </w:r>
      <w:r>
        <w:rPr>
          <w:rFonts w:cs="Arial" w:ascii="Arial" w:hAnsi="Arial"/>
          <w:sz w:val="22"/>
          <w:szCs w:val="22"/>
        </w:rPr>
        <w:t xml:space="preserve"> Ficam a Secretaria de Estado da Administração e da Previdência e a Secretaria de Estado da Educação, por meio do </w:t>
      </w:r>
      <w:r>
        <w:rPr>
          <w:rFonts w:cs="Arial" w:ascii="Arial" w:hAnsi="Arial"/>
          <w:sz w:val="22"/>
          <w:szCs w:val="22"/>
          <w:highlight w:val="yellow"/>
        </w:rPr>
        <w:t>NRE de XXX</w:t>
      </w:r>
      <w:r>
        <w:rPr>
          <w:rFonts w:cs="Arial" w:ascii="Arial" w:hAnsi="Arial"/>
          <w:sz w:val="22"/>
          <w:szCs w:val="22"/>
        </w:rPr>
        <w:t>, responsáveis pela fiscalização do cumprimento das cláusulas do presente Termo.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10.2</w:t>
      </w:r>
      <w:r>
        <w:rPr>
          <w:rFonts w:cs="Arial" w:ascii="Arial" w:hAnsi="Arial"/>
          <w:sz w:val="22"/>
          <w:szCs w:val="22"/>
        </w:rPr>
        <w:t xml:space="preserve"> A fiscalização do Termo de Cessão de Uso de Imóvel, responsabilidade do </w:t>
      </w:r>
      <w:r>
        <w:rPr>
          <w:rFonts w:cs="Arial" w:ascii="Arial" w:hAnsi="Arial"/>
          <w:b/>
          <w:bCs/>
          <w:sz w:val="22"/>
          <w:szCs w:val="22"/>
        </w:rPr>
        <w:t>CEDENTE</w:t>
      </w:r>
      <w:r>
        <w:rPr>
          <w:rFonts w:cs="Arial" w:ascii="Arial" w:hAnsi="Arial"/>
          <w:sz w:val="22"/>
          <w:szCs w:val="22"/>
        </w:rPr>
        <w:t xml:space="preserve">, consistirá na realização de relatórios, inspeções e vistorias e assemelhados, a cada </w:t>
      </w:r>
      <w:r>
        <w:rPr>
          <w:rFonts w:cs="Arial" w:ascii="Arial" w:hAnsi="Arial"/>
          <w:sz w:val="22"/>
          <w:szCs w:val="22"/>
          <w:highlight w:val="yellow"/>
        </w:rPr>
        <w:t>X meses</w:t>
      </w:r>
      <w:r>
        <w:rPr>
          <w:rFonts w:cs="Arial" w:ascii="Arial" w:hAnsi="Arial"/>
          <w:sz w:val="22"/>
          <w:szCs w:val="22"/>
        </w:rPr>
        <w:t xml:space="preserve">, a fim de emitir parecer técnico sobre a execução do referido termo, indicando eventuais medidas que devem ser providenciadas pelo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>, sob pena de revogação do Termo de Cessão.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10.3</w:t>
      </w:r>
      <w:r>
        <w:rPr>
          <w:rFonts w:cs="Arial" w:ascii="Arial" w:hAnsi="Arial"/>
          <w:sz w:val="22"/>
          <w:szCs w:val="22"/>
        </w:rPr>
        <w:t xml:space="preserve"> Incumbe ao </w:t>
      </w:r>
      <w:r>
        <w:rPr>
          <w:rFonts w:cs="Arial" w:ascii="Arial" w:hAnsi="Arial"/>
          <w:b/>
          <w:bCs/>
          <w:sz w:val="22"/>
          <w:szCs w:val="22"/>
        </w:rPr>
        <w:t>CESSIONÁRIO,</w:t>
      </w:r>
      <w:r>
        <w:rPr>
          <w:rFonts w:cs="Arial" w:ascii="Arial" w:hAnsi="Arial"/>
          <w:sz w:val="22"/>
          <w:szCs w:val="22"/>
        </w:rPr>
        <w:t xml:space="preserve"> a cada 2 (dois) anos a partir da data da ocupação do imóvel,</w:t>
      </w:r>
      <w:r>
        <w:rPr>
          <w:rFonts w:cs="Arial" w:ascii="Arial" w:hAnsi="Arial"/>
          <w:color w:val="FF000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 preenchimento do Relatório das Condições Gerais do Imóvel,</w:t>
      </w:r>
      <w:r>
        <w:rPr>
          <w:rFonts w:cs="Arial" w:ascii="Arial" w:hAnsi="Arial"/>
          <w:color w:val="FF000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conforme padrão estabelecido no Anexo IV do Decreto Estadual nº 4.120/2016, indicando as medidas de conservação e manutenção tomadas no período, a ser encaminhado à Secretaria de Estado da Educação.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uloN1"/>
        <w:numPr>
          <w:ilvl w:val="0"/>
          <w:numId w:val="2"/>
        </w:numPr>
        <w:pBdr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CLÁUSULA DÉCIMA PRIMEIRA: DA GESTÃO DO TERMO</w:t>
      </w:r>
    </w:p>
    <w:p>
      <w:pPr>
        <w:pStyle w:val="Normal"/>
        <w:pBdr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11.1</w:t>
      </w:r>
      <w:r>
        <w:rPr>
          <w:rFonts w:cs="Arial" w:ascii="Arial" w:hAnsi="Arial"/>
          <w:sz w:val="22"/>
          <w:szCs w:val="22"/>
        </w:rPr>
        <w:t xml:space="preserve"> A Secretaria de Estado da Educação, por meio do</w:t>
      </w:r>
      <w:r>
        <w:rPr>
          <w:rFonts w:cs="Arial" w:ascii="Arial" w:hAnsi="Arial"/>
          <w:color w:val="FF000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  <w:highlight w:val="yellow"/>
        </w:rPr>
        <w:t>NRE de XXX,</w:t>
      </w:r>
      <w:r>
        <w:rPr>
          <w:rFonts w:cs="Arial" w:ascii="Arial" w:hAnsi="Arial"/>
          <w:sz w:val="22"/>
          <w:szCs w:val="22"/>
        </w:rPr>
        <w:t xml:space="preserve"> é a responsável pela gestão do presente Termo, em face das competências dadas pela Lei nº 10.354/93.</w:t>
      </w:r>
    </w:p>
    <w:p>
      <w:pPr>
        <w:pStyle w:val="Normal"/>
        <w:pBdr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uloN1"/>
        <w:numPr>
          <w:ilvl w:val="0"/>
          <w:numId w:val="2"/>
        </w:numPr>
        <w:pBdr/>
        <w:spacing w:before="120" w:after="120"/>
        <w:rPr>
          <w:sz w:val="22"/>
          <w:szCs w:val="22"/>
          <w:lang w:eastAsia="en-US" w:bidi="ar-SA"/>
        </w:rPr>
      </w:pPr>
      <w:r>
        <w:rPr>
          <w:sz w:val="22"/>
          <w:szCs w:val="22"/>
          <w:lang w:eastAsia="en-US" w:bidi="ar-SA"/>
        </w:rPr>
        <w:t>CLÁUSULA DÉCIMA SEGUNDA: DA AVALIAÇÃO MONETÁRIA</w:t>
      </w:r>
    </w:p>
    <w:p>
      <w:pPr>
        <w:pStyle w:val="Normal"/>
        <w:spacing w:before="120" w:after="120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</w:r>
    </w:p>
    <w:tbl>
      <w:tblPr>
        <w:tblW w:w="892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928"/>
      </w:tblGrid>
      <w:tr>
        <w:trPr/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00"/>
              <w:spacing w:beforeAutospacing="1" w:afterAutospacing="1"/>
              <w:rPr>
                <w:rFonts w:eastAsia="Times New Roman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sz w:val="22"/>
                <w:lang w:eastAsia="pt-BR"/>
              </w:rPr>
              <w:t>Not</w:t>
            </w:r>
            <w:r>
              <w:rPr>
                <w:rFonts w:eastAsia="Times New Roman"/>
                <w:b/>
                <w:bCs/>
                <w:sz w:val="22"/>
                <w:shd w:fill="FFFF00" w:val="clear"/>
                <w:lang w:eastAsia="pt-BR"/>
              </w:rPr>
              <w:t>a explicativa n.º 05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eastAsia="Times New Roman" w:cs="Arial"/>
                <w:sz w:val="22"/>
                <w:szCs w:val="22"/>
                <w:highlight w:val="red"/>
                <w:highlight w:val="yellow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hd w:fill="FFFF00" w:val="clear"/>
                <w:lang w:eastAsia="pt-BR"/>
              </w:rPr>
              <w:t xml:space="preserve">(Obs. As notas explicativas são meramente orientativas. Portanto, devem ser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00" w:val="clear"/>
                <w:lang w:eastAsia="pt-BR"/>
              </w:rPr>
              <w:t xml:space="preserve">excluídas da minuta do termo de permissão que será </w:t>
            </w:r>
            <w:r>
              <w:rPr>
                <w:rFonts w:eastAsia="Times New Roman" w:cs="Arial" w:ascii="Arial" w:hAnsi="Arial"/>
                <w:b/>
                <w:sz w:val="22"/>
                <w:szCs w:val="22"/>
                <w:highlight w:val="yellow"/>
                <w:shd w:fill="FF3300" w:val="clear"/>
                <w:lang w:eastAsia="pt-BR"/>
              </w:rPr>
              <w:t>assinado</w:t>
            </w:r>
            <w:r>
              <w:rPr>
                <w:rFonts w:eastAsia="Times New Roman" w:cs="Arial" w:ascii="Arial" w:hAnsi="Arial"/>
                <w:sz w:val="22"/>
                <w:szCs w:val="22"/>
                <w:highlight w:val="yellow"/>
                <w:shd w:fill="FF3300" w:val="clear"/>
                <w:lang w:eastAsia="pt-BR"/>
              </w:rPr>
              <w:t>)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cs="Arial"/>
                <w:b/>
                <w:b/>
                <w:sz w:val="22"/>
                <w:szCs w:val="22"/>
                <w:highlight w:val="yellow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2"/>
                <w:highlight w:val="yellow"/>
                <w:shd w:fill="FF3300" w:val="clear"/>
                <w:lang w:eastAsia="pt-BR"/>
              </w:rPr>
              <w:t xml:space="preserve">Deve ser verificado no </w:t>
            </w:r>
            <w:r>
              <w:rPr>
                <w:rFonts w:cs="Arial" w:ascii="Arial" w:hAnsi="Arial"/>
                <w:b/>
                <w:sz w:val="22"/>
                <w:szCs w:val="22"/>
                <w:highlight w:val="yellow"/>
              </w:rPr>
              <w:t>verificar no Sistema de Gestão Patrimonial de Imóveis – GPI qual a empresa responsável pelo levantamento cadastral do imóvel, para então compatibilizar o texto apenas com os dados da respectiva empresa.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  <w:highlight w:val="yellow"/>
              </w:rPr>
              <w:t xml:space="preserve">TEXTO PARA HIPARC - </w:t>
            </w:r>
            <w:r>
              <w:rPr>
                <w:rFonts w:cs="Arial" w:ascii="Arial" w:hAnsi="Arial"/>
                <w:sz w:val="22"/>
                <w:szCs w:val="22"/>
              </w:rPr>
              <w:t>Para fins contábeis, necessários a desincorporação do bem do Patrimônio Estadual, é considerado no presente Termo como valor de avaliação, a Avaliação Monetária do imóvel elaborada por meio do Contrato n.º SEPL 004/2016, cadastrada no Sistema de Gestão Patrimonial de Imóveis - GPI, em conformidade com a NBR 14.653.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  <w:highlight w:val="yellow"/>
              </w:rPr>
              <w:t xml:space="preserve">TEXTO PARA ENPROL - </w:t>
            </w:r>
            <w:r>
              <w:rPr>
                <w:rFonts w:cs="Arial" w:ascii="Arial" w:hAnsi="Arial"/>
                <w:sz w:val="22"/>
                <w:szCs w:val="22"/>
              </w:rPr>
              <w:t>Para fins contábeis, necessários a desincorporação do bem do Patrimônio Estadual, é considerado no presente Termo como valor de avaliação, a Avaliação Monetária do imóvel elaborada por meio do Contrato n.º 002/2010 - UCE-PR/PNAGE, cadastrada no Sistema de Gestão Patrimonial de Imóveis - GPI, em conformidade com a NBR 14.653.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  <w:highlight w:val="yellow"/>
              </w:rPr>
              <w:t xml:space="preserve">TEXTO PARA NIP - </w:t>
            </w:r>
            <w:r>
              <w:rPr>
                <w:rFonts w:cs="Arial" w:ascii="Arial" w:hAnsi="Arial"/>
                <w:sz w:val="22"/>
                <w:szCs w:val="22"/>
              </w:rPr>
              <w:t>Para fins contábeis, necessários a desincorporação do bem do Patrimônio Estadual, é considerado no presente Termo como valor de avaliação, a Avaliação Monetária do imóvel elaborada por meio do Contrato n.º 3399/2020, cadastrada no Sistema de Gestão Patrimonial de Imóveis - GPI, em conformidade com a NBR 14.653.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Obs.</w:t>
            </w:r>
            <w:r>
              <w:rPr>
                <w:rFonts w:cs="Arial" w:ascii="Arial" w:hAnsi="Arial"/>
                <w:sz w:val="22"/>
                <w:szCs w:val="22"/>
              </w:rPr>
              <w:t xml:space="preserve"> Caso haja levantamento futuro feito por empresa distinta, o texto deve ser compatibilizado de acordo com os dados da nova empresa.</w:t>
            </w:r>
          </w:p>
          <w:p>
            <w:pPr>
              <w:pStyle w:val="Normal"/>
              <w:shd w:val="clear" w:color="auto" w:fill="FFFF00"/>
              <w:spacing w:beforeAutospacing="1" w:after="0"/>
              <w:ind w:firstLine="11"/>
              <w:jc w:val="both"/>
              <w:rPr>
                <w:rFonts w:eastAsia="Times New Roman"/>
                <w:sz w:val="20"/>
                <w:szCs w:val="20"/>
                <w:highlight w:val="red"/>
                <w:highlight w:val="yellow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highlight w:val="yellow"/>
                <w:shd w:fill="FF3300" w:val="clear"/>
                <w:lang w:eastAsia="pt-BR"/>
              </w:rPr>
            </w:r>
          </w:p>
        </w:tc>
      </w:tr>
    </w:tbl>
    <w:p>
      <w:pPr>
        <w:pStyle w:val="BodyTextIndent3"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ituloN1"/>
        <w:numPr>
          <w:ilvl w:val="0"/>
          <w:numId w:val="2"/>
        </w:numPr>
        <w:pBdr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CLÁUSULA DÉCIMA TERCEIRA: DAS OBRIGAÇÕES DA CEDENTE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13.1</w:t>
      </w:r>
      <w:r>
        <w:rPr>
          <w:rFonts w:cs="Arial" w:ascii="Arial" w:hAnsi="Arial"/>
          <w:sz w:val="22"/>
          <w:szCs w:val="22"/>
        </w:rPr>
        <w:t xml:space="preserve"> A CEDENTE obriga-se a: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13.1.1</w:t>
      </w:r>
      <w:r>
        <w:rPr>
          <w:rFonts w:cs="Arial" w:ascii="Arial" w:hAnsi="Arial"/>
          <w:sz w:val="22"/>
          <w:szCs w:val="22"/>
        </w:rPr>
        <w:t xml:space="preserve"> permitir o acesso dos empregados da </w:t>
      </w:r>
      <w:r>
        <w:rPr>
          <w:rFonts w:cs="Arial" w:ascii="Arial" w:hAnsi="Arial"/>
          <w:b/>
          <w:bCs/>
          <w:sz w:val="22"/>
          <w:szCs w:val="22"/>
        </w:rPr>
        <w:t>CESSIONÁRIA</w:t>
      </w:r>
      <w:r>
        <w:rPr>
          <w:rFonts w:cs="Arial" w:ascii="Arial" w:hAnsi="Arial"/>
          <w:sz w:val="22"/>
          <w:szCs w:val="22"/>
        </w:rPr>
        <w:t xml:space="preserve"> às dependências do imóvel para o exercício das atividades laborais;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13.1.2</w:t>
      </w:r>
      <w:r>
        <w:rPr>
          <w:rFonts w:cs="Arial" w:ascii="Arial" w:hAnsi="Arial"/>
          <w:sz w:val="22"/>
          <w:szCs w:val="22"/>
        </w:rPr>
        <w:t xml:space="preserve"> facilitar a atuação das autoridades fazendárias, sanitárias ou trabalhistas que venham a fiscalizar as obrigações legais da </w:t>
      </w:r>
      <w:r>
        <w:rPr>
          <w:rFonts w:cs="Arial" w:ascii="Arial" w:hAnsi="Arial"/>
          <w:b/>
          <w:bCs/>
          <w:sz w:val="22"/>
          <w:szCs w:val="22"/>
        </w:rPr>
        <w:t>CESSIONÁRIA</w:t>
      </w:r>
      <w:r>
        <w:rPr>
          <w:rFonts w:cs="Arial" w:ascii="Arial" w:hAnsi="Arial"/>
          <w:sz w:val="22"/>
          <w:szCs w:val="22"/>
        </w:rPr>
        <w:t>;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13.1.3</w:t>
      </w:r>
      <w:r>
        <w:rPr>
          <w:rFonts w:cs="Arial" w:ascii="Arial" w:hAnsi="Arial"/>
          <w:sz w:val="22"/>
          <w:szCs w:val="22"/>
        </w:rPr>
        <w:t xml:space="preserve"> informar, mensalmente, à </w:t>
      </w:r>
      <w:r>
        <w:rPr>
          <w:rFonts w:cs="Arial" w:ascii="Arial" w:hAnsi="Arial"/>
          <w:b/>
          <w:bCs/>
          <w:sz w:val="22"/>
          <w:szCs w:val="22"/>
        </w:rPr>
        <w:t>CESSIONÁRIA</w:t>
      </w:r>
      <w:r>
        <w:rPr>
          <w:rFonts w:cs="Arial" w:ascii="Arial" w:hAnsi="Arial"/>
          <w:sz w:val="22"/>
          <w:szCs w:val="22"/>
        </w:rPr>
        <w:t xml:space="preserve"> o valor das despesas de sua responsabilidade, consoante estabelecido no Termo de Compromisso da Cessão de Uso (item </w:t>
      </w:r>
      <w:r>
        <w:rPr>
          <w:rFonts w:cs="Arial" w:ascii="Arial" w:hAnsi="Arial"/>
          <w:b/>
          <w:bCs/>
          <w:sz w:val="22"/>
          <w:szCs w:val="22"/>
        </w:rPr>
        <w:t>2.3.2</w:t>
      </w:r>
      <w:r>
        <w:rPr>
          <w:rFonts w:cs="Arial" w:ascii="Arial" w:hAnsi="Arial"/>
          <w:sz w:val="22"/>
          <w:szCs w:val="22"/>
        </w:rPr>
        <w:t>).</w:t>
      </w:r>
    </w:p>
    <w:p>
      <w:pPr>
        <w:pStyle w:val="TituloN1"/>
        <w:numPr>
          <w:ilvl w:val="0"/>
          <w:numId w:val="2"/>
        </w:numPr>
        <w:pBdr/>
        <w:spacing w:before="120" w:after="1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uloN1"/>
        <w:numPr>
          <w:ilvl w:val="0"/>
          <w:numId w:val="2"/>
        </w:numPr>
        <w:pBdr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CLÁUSULA DÉCIMA QUARTA: DISPOSIÇÕES GERAIS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14.1</w:t>
      </w:r>
      <w:r>
        <w:rPr>
          <w:rFonts w:cs="Arial" w:ascii="Arial" w:hAnsi="Arial"/>
          <w:sz w:val="22"/>
          <w:szCs w:val="22"/>
        </w:rPr>
        <w:t xml:space="preserve"> As partes, </w:t>
      </w:r>
      <w:r>
        <w:rPr>
          <w:rFonts w:cs="Arial" w:ascii="Arial" w:hAnsi="Arial"/>
          <w:b/>
          <w:bCs/>
          <w:sz w:val="22"/>
          <w:szCs w:val="22"/>
        </w:rPr>
        <w:t>CEDENTE</w:t>
      </w:r>
      <w:r>
        <w:rPr>
          <w:rFonts w:cs="Arial" w:ascii="Arial" w:hAnsi="Arial"/>
          <w:sz w:val="22"/>
          <w:szCs w:val="22"/>
        </w:rPr>
        <w:t xml:space="preserve"> e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>, se comprometem a manter sigilo com relação às informações obtidas no desenvolvimento dos objetivos do presente Termo, em conformidade com as disposições contidas na Lei Federal n° 13.709/2018 – Lei Geral de Proteção de Dados Pessoais (LGPD) e no Decreto Estadual n° 6.474/2020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14.2</w:t>
      </w:r>
      <w:r>
        <w:rPr>
          <w:rFonts w:cs="Arial" w:ascii="Arial" w:hAnsi="Arial"/>
          <w:sz w:val="22"/>
          <w:szCs w:val="22"/>
        </w:rPr>
        <w:t xml:space="preserve"> O </w:t>
      </w:r>
      <w:r>
        <w:rPr>
          <w:rFonts w:cs="Arial" w:ascii="Arial" w:hAnsi="Arial"/>
          <w:b/>
          <w:bCs/>
          <w:sz w:val="22"/>
          <w:szCs w:val="22"/>
        </w:rPr>
        <w:t>CESSIONÁRIO</w:t>
      </w:r>
      <w:r>
        <w:rPr>
          <w:rFonts w:cs="Arial" w:ascii="Arial" w:hAnsi="Arial"/>
          <w:sz w:val="22"/>
          <w:szCs w:val="22"/>
        </w:rPr>
        <w:t xml:space="preserve"> fica obrigado a manter, durante toda a vigência do presente Termo, em compatibilidade com as obrigações por ele assumidas, todas as condições de regularidade junto à Receita Federal, à Receita Estadual, ao Fundo de Garantia do Tempo de Serviço (FGTS/CAIXA), ao Tribunal de Contas do Estado do Paraná (TCE/PR) e ao Tribunal Superior do Trabalho (TST).</w:t>
      </w:r>
    </w:p>
    <w:p>
      <w:pPr>
        <w:pStyle w:val="Normal"/>
        <w:pBdr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14.3</w:t>
      </w:r>
      <w:r>
        <w:rPr>
          <w:rFonts w:cs="Arial" w:ascii="Arial" w:hAnsi="Arial"/>
          <w:sz w:val="22"/>
          <w:szCs w:val="22"/>
        </w:rPr>
        <w:t xml:space="preserve"> Ficam delegados ao </w:t>
      </w:r>
      <w:r>
        <w:rPr>
          <w:rFonts w:cs="Arial" w:ascii="Arial" w:hAnsi="Arial"/>
          <w:sz w:val="22"/>
          <w:szCs w:val="22"/>
          <w:highlight w:val="yellow"/>
        </w:rPr>
        <w:t xml:space="preserve">NRE de XXX </w:t>
      </w:r>
      <w:r>
        <w:rPr>
          <w:rFonts w:cs="Arial" w:ascii="Arial" w:hAnsi="Arial"/>
          <w:sz w:val="22"/>
          <w:szCs w:val="22"/>
        </w:rPr>
        <w:t>o controle e a vistoria do imóvel, previstos no Artigo 6º da Lei Estadual nº 10.354/93.</w:t>
      </w:r>
    </w:p>
    <w:p>
      <w:pPr>
        <w:pStyle w:val="BodyTextIndent3"/>
        <w:pBdr/>
        <w:spacing w:before="120" w:after="12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14.4</w:t>
      </w:r>
      <w:r>
        <w:rPr>
          <w:rFonts w:cs="Arial" w:ascii="Arial" w:hAnsi="Arial"/>
          <w:sz w:val="22"/>
          <w:szCs w:val="22"/>
        </w:rPr>
        <w:t xml:space="preserve"> As questões decorrentes da execução deste Instrumento, que não possam ser dirimidas administrativamente, serão processadas e julgadas na Justiça Estadual, no Foro de Curitiba/PR (Foro Central da Comarca da Região Metropolitana), com exclusão de qualquer outro, por mais privilegiado que seja.</w:t>
      </w:r>
    </w:p>
    <w:p>
      <w:pPr>
        <w:pStyle w:val="BodyTextIndent3"/>
        <w:pBdr/>
        <w:spacing w:lineRule="auto" w:line="276" w:before="0"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120" w:after="120"/>
        <w:rPr>
          <w:rFonts w:ascii="Arial" w:hAnsi="Arial" w:cs="Arial"/>
          <w:sz w:val="22"/>
          <w:szCs w:val="22"/>
        </w:rPr>
      </w:pPr>
      <w:r>
        <w:rPr>
          <w:rFonts w:eastAsia="Times New Roman" w:cs="Arial" w:ascii="Arial" w:hAnsi="Arial"/>
          <w:color w:val="000000"/>
          <w:sz w:val="22"/>
          <w:szCs w:val="22"/>
          <w:shd w:fill="FFFFFF" w:val="clear"/>
          <w:lang w:eastAsia="pt-BR"/>
        </w:rPr>
        <w:t>Local e data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Assinado eletronicamente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CEDENTE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TITULAR DA SEED</w:t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Assinado eletronicamente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CEDENTE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TITULAR DA SEAP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CESSIONÁRIO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Município de </w:t>
      </w:r>
      <w:r>
        <w:rPr>
          <w:rFonts w:cs="Arial" w:ascii="Arial" w:hAnsi="Arial"/>
          <w:b/>
          <w:bCs/>
          <w:sz w:val="22"/>
          <w:szCs w:val="22"/>
          <w:highlight w:val="yellow"/>
        </w:rPr>
        <w:t>XXX</w:t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BodyTextIndent3"/>
        <w:pBdr/>
        <w:spacing w:lineRule="auto" w:line="276" w:before="0"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892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928"/>
      </w:tblGrid>
      <w:tr>
        <w:trPr/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00"/>
              <w:spacing w:beforeAutospacing="1" w:afterAutospacing="1"/>
              <w:rPr>
                <w:rFonts w:eastAsia="Times New Roman"/>
                <w:sz w:val="22"/>
                <w:lang w:eastAsia="pt-BR"/>
              </w:rPr>
            </w:pPr>
            <w:r>
              <w:rPr>
                <w:rFonts w:eastAsia="Times New Roman"/>
                <w:b/>
                <w:bCs/>
                <w:sz w:val="22"/>
                <w:lang w:eastAsia="pt-BR"/>
              </w:rPr>
              <w:t>Not</w:t>
            </w:r>
            <w:r>
              <w:rPr>
                <w:rFonts w:eastAsia="Times New Roman"/>
                <w:b/>
                <w:bCs/>
                <w:sz w:val="22"/>
                <w:shd w:fill="FFFF00" w:val="clear"/>
                <w:lang w:eastAsia="pt-BR"/>
              </w:rPr>
              <w:t>a explicativa n.º 06</w:t>
            </w:r>
          </w:p>
          <w:p>
            <w:pPr>
              <w:pStyle w:val="Normal"/>
              <w:shd w:val="clear" w:color="auto" w:fill="FFFF00"/>
              <w:spacing w:beforeAutospacing="1" w:afterAutospacing="1"/>
              <w:ind w:firstLine="11"/>
              <w:jc w:val="both"/>
              <w:rPr>
                <w:rFonts w:ascii="Arial" w:hAnsi="Arial" w:eastAsia="Times New Roman" w:cs="Arial"/>
                <w:sz w:val="22"/>
                <w:szCs w:val="22"/>
                <w:highlight w:val="red"/>
                <w:highlight w:val="yellow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hd w:fill="FFFF00" w:val="clear"/>
                <w:lang w:eastAsia="pt-BR"/>
              </w:rPr>
              <w:t xml:space="preserve">(Obs. As notas explicativas são meramente orientativas. Portanto, devem ser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shd w:fill="FFFF00" w:val="clear"/>
                <w:lang w:eastAsia="pt-BR"/>
              </w:rPr>
              <w:t xml:space="preserve">excluídas da minuta do termo de permissão que será </w:t>
            </w:r>
            <w:r>
              <w:rPr>
                <w:rFonts w:eastAsia="Times New Roman" w:cs="Arial" w:ascii="Arial" w:hAnsi="Arial"/>
                <w:b/>
                <w:sz w:val="22"/>
                <w:szCs w:val="22"/>
                <w:highlight w:val="yellow"/>
                <w:shd w:fill="FF3300" w:val="clear"/>
                <w:lang w:eastAsia="pt-BR"/>
              </w:rPr>
              <w:t>assinado</w:t>
            </w:r>
            <w:r>
              <w:rPr>
                <w:rFonts w:eastAsia="Times New Roman" w:cs="Arial" w:ascii="Arial" w:hAnsi="Arial"/>
                <w:sz w:val="22"/>
                <w:szCs w:val="22"/>
                <w:highlight w:val="yellow"/>
                <w:shd w:fill="FF3300" w:val="clear"/>
                <w:lang w:eastAsia="pt-BR"/>
              </w:rPr>
              <w:t>)</w:t>
            </w:r>
          </w:p>
          <w:p>
            <w:pPr>
              <w:pStyle w:val="Normal"/>
              <w:shd w:val="clear" w:color="auto" w:fill="FFFF00"/>
              <w:spacing w:beforeAutospacing="1" w:after="0"/>
              <w:ind w:firstLine="11"/>
              <w:jc w:val="both"/>
              <w:rPr>
                <w:rFonts w:ascii="Arial" w:hAnsi="Arial" w:eastAsia="Times New Roman" w:cs="Arial"/>
                <w:sz w:val="22"/>
                <w:szCs w:val="22"/>
                <w:highlight w:val="red"/>
                <w:highlight w:val="yellow"/>
                <w:lang w:eastAsia="pt-BR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highlight w:val="yellow"/>
                <w:shd w:fill="FF3300" w:val="clear"/>
                <w:lang w:eastAsia="pt-BR"/>
              </w:rPr>
              <w:t xml:space="preserve">Devem ser anexados ao Termo de Cessão de uso </w:t>
            </w:r>
            <w:r>
              <w:rPr>
                <w:rFonts w:cs="Arial" w:ascii="Arial" w:hAnsi="Arial"/>
                <w:sz w:val="22"/>
                <w:szCs w:val="22"/>
                <w:highlight w:val="yellow"/>
              </w:rPr>
              <w:t xml:space="preserve">os anexos mencionados nos itens </w:t>
            </w:r>
            <w:r>
              <w:rPr>
                <w:rFonts w:cs="Arial" w:ascii="Arial" w:hAnsi="Arial"/>
                <w:b/>
                <w:bCs/>
                <w:sz w:val="22"/>
                <w:szCs w:val="22"/>
                <w:highlight w:val="yellow"/>
              </w:rPr>
              <w:t>2.3.1</w:t>
            </w:r>
            <w:r>
              <w:rPr>
                <w:rFonts w:cs="Arial" w:ascii="Arial" w:hAnsi="Arial"/>
                <w:sz w:val="22"/>
                <w:szCs w:val="22"/>
                <w:highlight w:val="yellow"/>
              </w:rPr>
              <w:t xml:space="preserve">, </w:t>
            </w:r>
            <w:r>
              <w:rPr>
                <w:rFonts w:cs="Arial" w:ascii="Arial" w:hAnsi="Arial"/>
                <w:b/>
                <w:bCs/>
                <w:sz w:val="22"/>
                <w:szCs w:val="22"/>
                <w:highlight w:val="yellow"/>
              </w:rPr>
              <w:t>2.3.2</w:t>
            </w:r>
            <w:r>
              <w:rPr>
                <w:rFonts w:cs="Arial" w:ascii="Arial" w:hAnsi="Arial"/>
                <w:sz w:val="22"/>
                <w:szCs w:val="22"/>
                <w:highlight w:val="yellow"/>
              </w:rPr>
              <w:t xml:space="preserve"> e </w:t>
            </w:r>
            <w:r>
              <w:rPr>
                <w:rFonts w:cs="Arial" w:ascii="Arial" w:hAnsi="Arial"/>
                <w:b/>
                <w:bCs/>
                <w:sz w:val="22"/>
                <w:szCs w:val="22"/>
                <w:highlight w:val="yellow"/>
              </w:rPr>
              <w:t>2.3.3</w:t>
            </w:r>
            <w:r>
              <w:rPr>
                <w:rFonts w:cs="Arial" w:ascii="Arial" w:hAnsi="Arial"/>
                <w:sz w:val="22"/>
                <w:szCs w:val="22"/>
                <w:highlight w:val="yellow"/>
              </w:rPr>
              <w:t>.</w:t>
            </w:r>
          </w:p>
        </w:tc>
      </w:tr>
    </w:tbl>
    <w:p>
      <w:pPr>
        <w:pStyle w:val="Standard"/>
        <w:tabs>
          <w:tab w:val="clear" w:pos="720"/>
          <w:tab w:val="left" w:pos="1990" w:leader="none"/>
        </w:tabs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Standard"/>
        <w:shd w:val="clear" w:color="auto" w:fill="FFFFFF"/>
        <w:tabs>
          <w:tab w:val="clear" w:pos="720"/>
          <w:tab w:val="left" w:pos="284" w:leader="none"/>
        </w:tabs>
        <w:jc w:val="both"/>
        <w:rPr>
          <w:rFonts w:ascii="Arial" w:hAnsi="Arial" w:eastAsia="Myriad Pro" w:cs="Arial"/>
          <w:sz w:val="20"/>
          <w:szCs w:val="20"/>
        </w:rPr>
      </w:pPr>
      <w:r>
        <w:rPr>
          <w:rFonts w:eastAsia="Myriad Pro" w:cs="Arial" w:ascii="Arial" w:hAnsi="Arial"/>
          <w:sz w:val="20"/>
          <w:szCs w:val="20"/>
        </w:rPr>
      </w:r>
    </w:p>
    <w:tbl>
      <w:tblPr>
        <w:tblW w:w="90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75"/>
      </w:tblGrid>
      <w:tr>
        <w:trPr/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shd w:fill="FFFF00" w:val="clear"/>
              </w:rPr>
              <w:t>Nota expl</w:t>
            </w:r>
            <w:r>
              <w:rPr>
                <w:rFonts w:cs="Arial" w:ascii="Arial" w:hAnsi="Arial"/>
                <w:b/>
                <w:color w:val="000000"/>
                <w:kern w:val="0"/>
                <w:sz w:val="22"/>
                <w:szCs w:val="22"/>
                <w:shd w:fill="FFFF00" w:val="clear"/>
              </w:rPr>
              <w:t>icativa n.º 07</w:t>
            </w:r>
          </w:p>
          <w:p>
            <w:pPr>
              <w:pStyle w:val="Contedodatabela"/>
              <w:shd w:val="clear" w:color="auto" w:fill="FFFF00"/>
              <w:spacing w:before="0" w:after="57"/>
              <w:ind w:left="-9" w:firstLine="9"/>
              <w:jc w:val="both"/>
              <w:rPr>
                <w:sz w:val="22"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  <w:sz w:val="22"/>
                <w:shd w:fill="FFFF00" w:val="clear"/>
              </w:rPr>
              <w:t>(Obs. As notas explicativas são meramente orientativas. Portanto, devem ser excluídas da lista de verificação a ser apensada ao processo)</w:t>
            </w:r>
          </w:p>
          <w:p>
            <w:pPr>
              <w:pStyle w:val="Contedodatabela"/>
              <w:shd w:val="clear" w:color="auto" w:fill="FFFF00"/>
              <w:spacing w:before="0" w:after="57"/>
              <w:ind w:left="-9" w:firstLine="9"/>
              <w:jc w:val="both"/>
              <w:rPr/>
            </w:pPr>
            <w:r>
              <w:rPr>
                <w:rFonts w:eastAsia="Calibri" w:cs="Arial" w:ascii="Arial" w:hAnsi="Arial"/>
                <w:color w:val="000000"/>
                <w:sz w:val="22"/>
                <w:shd w:fill="FFFF00" w:val="clear"/>
              </w:rPr>
              <w:t>Recomenda-se que as assinaturas sejam realizadas por meio eletrônico, nos termos do Decreto Estadual n.º 7.304/2021 e do Decreto Estadual n.º 10.086/2022.</w:t>
            </w:r>
          </w:p>
        </w:tc>
      </w:tr>
    </w:tbl>
    <w:p>
      <w:pPr>
        <w:pStyle w:val="Standard"/>
        <w:tabs>
          <w:tab w:val="clear" w:pos="720"/>
          <w:tab w:val="left" w:pos="284" w:leader="none"/>
        </w:tabs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Standard"/>
        <w:tabs>
          <w:tab w:val="clear" w:pos="720"/>
          <w:tab w:val="left" w:pos="284" w:leader="none"/>
        </w:tabs>
        <w:jc w:val="center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</w:r>
    </w:p>
    <w:p>
      <w:pPr>
        <w:pStyle w:val="Standard"/>
        <w:tabs>
          <w:tab w:val="clear" w:pos="720"/>
          <w:tab w:val="left" w:pos="284" w:leader="none"/>
        </w:tabs>
        <w:spacing w:before="0" w:after="200"/>
        <w:jc w:val="both"/>
        <w:rPr/>
      </w:pPr>
      <w:r>
        <w:rPr>
          <w:rFonts w:ascii="Arial" w:hAnsi="Arial"/>
          <w:b/>
          <w:bCs/>
        </w:rPr>
        <w:t>NENHUM DOCUMENTO DEVERÁ SER IMPRESSO, TODOS DEVEM SER DIGITALIZADOS EM PDF INDIVIDUALMENTE</w:t>
      </w:r>
    </w:p>
    <w:sectPr>
      <w:headerReference w:type="default" r:id="rId3"/>
      <w:footerReference w:type="default" r:id="rId4"/>
      <w:type w:val="nextPage"/>
      <w:pgSz w:w="11906" w:h="16838"/>
      <w:pgMar w:left="1701" w:right="1134" w:header="1588" w:top="1701" w:footer="493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Pro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0"/>
    <w:family w:val="roman"/>
    <w:pitch w:val="variable"/>
  </w:font>
  <w:font w:name="Open Sans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</w:r>
  </w:p>
  <w:p>
    <w:pPr>
      <w:pStyle w:val="Rodap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Procuradoria-Geral do Estado do Paraná</w:t>
    </w:r>
  </w:p>
  <w:p>
    <w:pPr>
      <w:pStyle w:val="Standard"/>
      <w:tabs>
        <w:tab w:val="clear" w:pos="720"/>
        <w:tab w:val="left" w:pos="284" w:leader="none"/>
      </w:tabs>
      <w:jc w:val="both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Minuta Padronizada para CESSÃO DE USO DE BEM IMÓVEL PARA UNIDADE ESCOLAR MUNICIPAL - com objeto definido –Lei Federal n.º 12.232/2010 - Lei Federal n.º 14.133, de 2021 – Decreto Estadual n.º 10.086, de 2022.</w:t>
    </w:r>
  </w:p>
  <w:p>
    <w:pPr>
      <w:pStyle w:val="Standard"/>
      <w:tabs>
        <w:tab w:val="clear" w:pos="720"/>
        <w:tab w:val="left" w:pos="284" w:leader="none"/>
      </w:tabs>
      <w:jc w:val="both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Atualização: novembro de 2023.</w:t>
    </w:r>
  </w:p>
  <w:p>
    <w:pPr>
      <w:pStyle w:val="Rodap"/>
      <w:spacing w:before="0" w:after="200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807" w:type="dxa"/>
      <w:jc w:val="left"/>
      <w:tblInd w:w="-10" w:type="dxa"/>
      <w:tblCellMar>
        <w:top w:w="0" w:type="dxa"/>
        <w:left w:w="0" w:type="dxa"/>
        <w:bottom w:w="0" w:type="dxa"/>
        <w:right w:w="0" w:type="dxa"/>
      </w:tblCellMar>
      <w:tblLook w:firstRow="0" w:noVBand="0" w:lastRow="0" w:firstColumn="0" w:lastColumn="0" w:noHBand="0" w:val="0000"/>
    </w:tblPr>
    <w:tblGrid>
      <w:gridCol w:w="2335"/>
      <w:gridCol w:w="6471"/>
    </w:tblGrid>
    <w:tr>
      <w:trPr>
        <w:trHeight w:val="1674" w:hRule="atLeast"/>
      </w:trPr>
      <w:tc>
        <w:tcPr>
          <w:tcW w:w="2335" w:type="dxa"/>
          <w:tcBorders/>
          <w:shd w:color="auto" w:fill="auto" w:val="clear"/>
        </w:tcPr>
        <w:p>
          <w:pPr>
            <w:pStyle w:val="Cabealho"/>
            <w:spacing w:before="0" w:after="200"/>
            <w:jc w:val="center"/>
            <w:rPr/>
          </w:pPr>
          <w:r>
            <w:rPr/>
            <w:drawing>
              <wp:anchor behindDoc="1" distT="0" distB="0" distL="0" distR="0" simplePos="0" locked="0" layoutInCell="1" allowOverlap="1" relativeHeight="14">
                <wp:simplePos x="0" y="0"/>
                <wp:positionH relativeFrom="column">
                  <wp:posOffset>108585</wp:posOffset>
                </wp:positionH>
                <wp:positionV relativeFrom="paragraph">
                  <wp:posOffset>-189230</wp:posOffset>
                </wp:positionV>
                <wp:extent cx="1031240" cy="1184910"/>
                <wp:effectExtent l="0" t="0" r="0" b="0"/>
                <wp:wrapNone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1184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71" w:type="dxa"/>
          <w:tcBorders/>
          <w:shd w:color="auto" w:fill="auto" w:val="clear"/>
          <w:vAlign w:val="center"/>
        </w:tcPr>
        <w:p>
          <w:pPr>
            <w:pStyle w:val="Cabealho"/>
            <w:jc w:val="center"/>
            <w:rPr>
              <w:rFonts w:ascii="Arial" w:hAnsi="Arial" w:cs="Arial"/>
              <w:b/>
              <w:b/>
            </w:rPr>
          </w:pPr>
          <w:r>
            <w:rPr>
              <w:rFonts w:cs="Arial" w:ascii="Arial" w:hAnsi="Arial"/>
              <w:b/>
            </w:rPr>
            <w:t>GOVERNO DO ESTADO DO PARANÁ</w:t>
          </w:r>
        </w:p>
        <w:p>
          <w:pPr>
            <w:pStyle w:val="Cabealho"/>
            <w:jc w:val="center"/>
            <w:rPr>
              <w:rFonts w:ascii="Arial" w:hAnsi="Arial" w:cs="Arial"/>
              <w:b/>
              <w:b/>
            </w:rPr>
          </w:pPr>
          <w:r>
            <w:rPr>
              <w:rFonts w:cs="Arial" w:ascii="Arial" w:hAnsi="Arial"/>
              <w:b/>
            </w:rPr>
            <w:t>PROCURADORIA GERAL DO ESTADO</w:t>
          </w:r>
        </w:p>
        <w:p>
          <w:pPr>
            <w:pStyle w:val="Normal"/>
            <w:rPr/>
          </w:pPr>
          <w:r>
            <w:rPr/>
          </w:r>
        </w:p>
        <w:p>
          <w:pPr>
            <w:pStyle w:val="Normal"/>
            <w:rPr/>
          </w:pPr>
          <w:r>
            <w:rPr/>
          </w:r>
          <w:bookmarkStart w:id="10" w:name="_GoBack"/>
          <w:bookmarkStart w:id="11" w:name="_GoBack"/>
          <w:bookmarkEnd w:id="11"/>
        </w:p>
      </w:tc>
    </w:tr>
  </w:tbl>
  <w:p>
    <w:pPr>
      <w:pStyle w:val="Cabealho"/>
      <w:suppressLineNumbers/>
      <w:tabs>
        <w:tab w:val="center" w:pos="4462" w:leader="none"/>
        <w:tab w:val="right" w:pos="8925" w:leader="none"/>
      </w:tabs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22"/>
        <w:b/>
        <w:rFonts w:ascii="Arial" w:hAnsi="Arial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lvl w:ilvl="0">
      <w:start w:val="4"/>
      <w:numFmt w:val="decimal"/>
      <w:lvlText w:val="%1"/>
      <w:lvlJc w:val="left"/>
      <w:pPr>
        <w:ind w:left="444" w:hanging="444"/>
      </w:pPr>
    </w:lvl>
    <w:lvl w:ilvl="1">
      <w:start w:val="1"/>
      <w:numFmt w:val="decimal"/>
      <w:lvlText w:val="%1.%2"/>
      <w:lvlJc w:val="left"/>
      <w:pPr>
        <w:ind w:left="444" w:hanging="444"/>
      </w:pPr>
    </w:lvl>
    <w:lvl w:ilvl="2">
      <w:start w:val="7"/>
      <w:numFmt w:val="decimal"/>
      <w:lvlText w:val="%1.%2.%3"/>
      <w:lvlJc w:val="left"/>
      <w:pPr>
        <w:ind w:left="720" w:hanging="720"/>
      </w:pPr>
      <w:rPr>
        <w:sz w:val="22"/>
        <w:b/>
        <w:rFonts w:ascii="Arial" w:hAnsi="Arial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  <w:rPr>
        <w:sz w:val="22"/>
        <w:b/>
        <w:rFonts w:ascii="Arial" w:hAnsi="Arial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sz w:val="22"/>
        <w:b/>
        <w:rFonts w:ascii="Arial" w:hAnsi="Arial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>
    <w:lvl w:ilvl="0">
      <w:start w:val="9"/>
      <w:numFmt w:val="decimal"/>
      <w:lvlText w:val="%1"/>
      <w:lvlJc w:val="left"/>
      <w:pPr>
        <w:ind w:left="444" w:hanging="444"/>
      </w:pPr>
    </w:lvl>
    <w:lvl w:ilvl="1">
      <w:start w:val="1"/>
      <w:numFmt w:val="decimal"/>
      <w:lvlText w:val="%1.%2"/>
      <w:lvlJc w:val="left"/>
      <w:pPr>
        <w:ind w:left="444" w:hanging="444"/>
      </w:pPr>
      <w:rPr>
        <w:sz w:val="22"/>
        <w:b/>
        <w:rFonts w:ascii="Arial" w:hAnsi="Arial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sz w:val="22"/>
        <w:b/>
        <w:rFonts w:ascii="Arial" w:hAnsi="Arial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lvl w:ilvl="0">
      <w:start w:val="8"/>
      <w:numFmt w:val="decimal"/>
      <w:lvlText w:val="%1"/>
      <w:lvlJc w:val="left"/>
      <w:pPr>
        <w:ind w:left="444" w:hanging="444"/>
      </w:pPr>
    </w:lvl>
    <w:lvl w:ilvl="1">
      <w:start w:val="2"/>
      <w:numFmt w:val="decimal"/>
      <w:lvlText w:val="%1.%2"/>
      <w:lvlJc w:val="left"/>
      <w:pPr>
        <w:ind w:left="444" w:hanging="444"/>
      </w:pPr>
      <w:rPr>
        <w:sz w:val="22"/>
        <w:b/>
        <w:rFonts w:ascii="Arial" w:hAnsi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  <w:b/>
        <w:rFonts w:ascii="Arial" w:hAnsi="Arial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yriad Pro" w:hAnsi="Myriad Pro" w:eastAsia="SimSun" w:cs="Mangal"/>
        <w:kern w:val="2"/>
        <w:sz w:val="24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d6877"/>
    <w:pPr>
      <w:widowControl w:val="false"/>
      <w:suppressAutoHyphens w:val="true"/>
      <w:bidi w:val="0"/>
      <w:jc w:val="left"/>
      <w:textAlignment w:val="baseline"/>
    </w:pPr>
    <w:rPr>
      <w:rFonts w:ascii="Myriad Pro" w:hAnsi="Myriad Pro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Corpodotexto"/>
    <w:link w:val="Ttulo1Char"/>
    <w:qFormat/>
    <w:rsid w:val="00b67449"/>
    <w:pPr>
      <w:keepNext w:val="true"/>
      <w:numPr>
        <w:ilvl w:val="0"/>
        <w:numId w:val="1"/>
      </w:numPr>
      <w:pBdr/>
      <w:spacing w:before="240" w:after="120"/>
      <w:outlineLvl w:val="0"/>
    </w:pPr>
    <w:rPr>
      <w:rFonts w:ascii="Arial" w:hAnsi="Arial" w:eastAsia="Microsoft YaHei"/>
      <w:b/>
      <w:bCs/>
      <w:kern w:val="2"/>
      <w:sz w:val="36"/>
      <w:szCs w:val="36"/>
    </w:rPr>
  </w:style>
  <w:style w:type="paragraph" w:styleId="Ttulo2">
    <w:name w:val="Heading 2"/>
    <w:basedOn w:val="Ttulododocumento"/>
    <w:next w:val="Corpodotexto"/>
    <w:link w:val="Ttulo2Char"/>
    <w:qFormat/>
    <w:rsid w:val="00b67449"/>
    <w:pPr>
      <w:keepNext w:val="true"/>
      <w:numPr>
        <w:ilvl w:val="1"/>
        <w:numId w:val="1"/>
      </w:numPr>
      <w:pBdr/>
      <w:spacing w:before="240" w:after="120"/>
      <w:outlineLvl w:val="1"/>
    </w:pPr>
    <w:rPr>
      <w:rFonts w:ascii="Times New Roman" w:hAnsi="Times New Roman" w:eastAsia="Arial Unicode MS" w:cs="Tahoma"/>
      <w:b/>
      <w:bCs/>
      <w:spacing w:val="0"/>
      <w:kern w:val="2"/>
      <w:sz w:val="36"/>
      <w:szCs w:val="36"/>
    </w:rPr>
  </w:style>
  <w:style w:type="paragraph" w:styleId="Ttulo3">
    <w:name w:val="Heading 3"/>
    <w:basedOn w:val="Normal"/>
    <w:next w:val="Corpodotexto"/>
    <w:link w:val="Ttulo3Char"/>
    <w:qFormat/>
    <w:rsid w:val="00b67449"/>
    <w:pPr>
      <w:keepNext w:val="true"/>
      <w:numPr>
        <w:ilvl w:val="2"/>
        <w:numId w:val="1"/>
      </w:numPr>
      <w:pBdr/>
      <w:spacing w:before="140" w:after="120"/>
      <w:outlineLvl w:val="2"/>
    </w:pPr>
    <w:rPr>
      <w:rFonts w:ascii="Arial" w:hAnsi="Arial" w:eastAsia="Microsoft YaHei"/>
      <w:b/>
      <w:bCs/>
      <w:kern w:val="2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Myriad Pro" w:hAnsi="Myriad Pro" w:eastAsia="Myriad Pro" w:cs="Myriad Pro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8Num1zfalse" w:customStyle="1">
    <w:name w:val="WW8Num1zfalse"/>
    <w:qFormat/>
    <w:rPr/>
  </w:style>
  <w:style w:type="character" w:styleId="WW8Num1ztrue" w:customStyle="1">
    <w:name w:val="WW8Num1ztrue"/>
    <w:qFormat/>
    <w:rPr/>
  </w:style>
  <w:style w:type="character" w:styleId="WWWW8Num1ztrue" w:customStyle="1">
    <w:name w:val="WW-WW8Num1ztrue"/>
    <w:qFormat/>
    <w:rPr/>
  </w:style>
  <w:style w:type="character" w:styleId="WWWW8Num1ztrue1" w:customStyle="1">
    <w:name w:val="WW-WW8Num1ztrue1"/>
    <w:qFormat/>
    <w:rPr/>
  </w:style>
  <w:style w:type="character" w:styleId="WWWW8Num1ztrue12" w:customStyle="1">
    <w:name w:val="WW-WW8Num1ztrue12"/>
    <w:qFormat/>
    <w:rPr/>
  </w:style>
  <w:style w:type="character" w:styleId="WWWW8Num1ztrue123" w:customStyle="1">
    <w:name w:val="WW-WW8Num1ztrue123"/>
    <w:qFormat/>
    <w:rPr/>
  </w:style>
  <w:style w:type="character" w:styleId="WWWW8Num1ztrue1234" w:customStyle="1">
    <w:name w:val="WW-WW8Num1ztrue1234"/>
    <w:qFormat/>
    <w:rPr/>
  </w:style>
  <w:style w:type="character" w:styleId="WWWW8Num1ztrue12345" w:customStyle="1">
    <w:name w:val="WW-WW8Num1ztrue12345"/>
    <w:qFormat/>
    <w:rPr/>
  </w:style>
  <w:style w:type="character" w:styleId="WWWW8Num1ztrue123456" w:customStyle="1">
    <w:name w:val="WW-WW8Num1ztrue123456"/>
    <w:qFormat/>
    <w:rPr/>
  </w:style>
  <w:style w:type="character" w:styleId="WW8Num3zfalse" w:customStyle="1">
    <w:name w:val="WW8Num3zfalse"/>
    <w:qFormat/>
    <w:rPr/>
  </w:style>
  <w:style w:type="character" w:styleId="WW8Num3ztrue" w:customStyle="1">
    <w:name w:val="WW8Num3ztrue"/>
    <w:qFormat/>
    <w:rPr/>
  </w:style>
  <w:style w:type="character" w:styleId="WWWW8Num3ztrue" w:customStyle="1">
    <w:name w:val="WW-WW8Num3ztrue"/>
    <w:qFormat/>
    <w:rPr/>
  </w:style>
  <w:style w:type="character" w:styleId="WWWW8Num3ztrue1" w:customStyle="1">
    <w:name w:val="WW-WW8Num3ztrue1"/>
    <w:qFormat/>
    <w:rPr/>
  </w:style>
  <w:style w:type="character" w:styleId="WWWW8Num3ztrue12" w:customStyle="1">
    <w:name w:val="WW-WW8Num3ztrue12"/>
    <w:qFormat/>
    <w:rPr/>
  </w:style>
  <w:style w:type="character" w:styleId="WWWW8Num3ztrue123" w:customStyle="1">
    <w:name w:val="WW-WW8Num3ztrue123"/>
    <w:qFormat/>
    <w:rPr/>
  </w:style>
  <w:style w:type="character" w:styleId="WWWW8Num3ztrue1234" w:customStyle="1">
    <w:name w:val="WW-WW8Num3ztrue1234"/>
    <w:qFormat/>
    <w:rPr/>
  </w:style>
  <w:style w:type="character" w:styleId="WWWW8Num3ztrue12345" w:customStyle="1">
    <w:name w:val="WW-WW8Num3ztrue12345"/>
    <w:qFormat/>
    <w:rPr/>
  </w:style>
  <w:style w:type="character" w:styleId="WWWW8Num3ztrue123456" w:customStyle="1">
    <w:name w:val="WW-WW8Num3ztrue123456"/>
    <w:qFormat/>
    <w:rPr/>
  </w:style>
  <w:style w:type="character" w:styleId="WWWW8Num1ztrue1234567" w:customStyle="1">
    <w:name w:val="WW-WW8Num1ztrue1234567"/>
    <w:qFormat/>
    <w:rPr/>
  </w:style>
  <w:style w:type="character" w:styleId="WWWW8Num1ztrue11" w:customStyle="1">
    <w:name w:val="WW-WW8Num1ztrue11"/>
    <w:qFormat/>
    <w:rPr/>
  </w:style>
  <w:style w:type="character" w:styleId="WWWW8Num1ztrue2" w:customStyle="1">
    <w:name w:val="WW-WW8Num1ztrue2"/>
    <w:qFormat/>
    <w:rPr/>
  </w:style>
  <w:style w:type="character" w:styleId="WWWW8Num1ztrue3" w:customStyle="1">
    <w:name w:val="WW-WW8Num1ztrue3"/>
    <w:qFormat/>
    <w:rPr/>
  </w:style>
  <w:style w:type="character" w:styleId="WWWW8Num1ztrue4" w:customStyle="1">
    <w:name w:val="WW-WW8Num1ztrue4"/>
    <w:qFormat/>
    <w:rPr/>
  </w:style>
  <w:style w:type="character" w:styleId="WWWW8Num1ztrue5" w:customStyle="1">
    <w:name w:val="WW-WW8Num1ztrue5"/>
    <w:qFormat/>
    <w:rPr/>
  </w:style>
  <w:style w:type="character" w:styleId="WWWW8Num1ztrue6" w:customStyle="1">
    <w:name w:val="WW-WW8Num1ztrue6"/>
    <w:qFormat/>
    <w:rPr/>
  </w:style>
  <w:style w:type="character" w:styleId="WWWW8Num3ztrue1234567" w:customStyle="1">
    <w:name w:val="WW-WW8Num3ztrue1234567"/>
    <w:qFormat/>
    <w:rPr/>
  </w:style>
  <w:style w:type="character" w:styleId="WWWW8Num3ztrue11" w:customStyle="1">
    <w:name w:val="WW-WW8Num3ztrue11"/>
    <w:qFormat/>
    <w:rPr/>
  </w:style>
  <w:style w:type="character" w:styleId="WWWW8Num3ztrue2" w:customStyle="1">
    <w:name w:val="WW-WW8Num3ztrue2"/>
    <w:qFormat/>
    <w:rPr/>
  </w:style>
  <w:style w:type="character" w:styleId="WWWW8Num3ztrue3" w:customStyle="1">
    <w:name w:val="WW-WW8Num3ztrue3"/>
    <w:qFormat/>
    <w:rPr/>
  </w:style>
  <w:style w:type="character" w:styleId="WWWW8Num3ztrue4" w:customStyle="1">
    <w:name w:val="WW-WW8Num3ztrue4"/>
    <w:qFormat/>
    <w:rPr/>
  </w:style>
  <w:style w:type="character" w:styleId="WWWW8Num3ztrue5" w:customStyle="1">
    <w:name w:val="WW-WW8Num3ztrue5"/>
    <w:qFormat/>
    <w:rPr/>
  </w:style>
  <w:style w:type="character" w:styleId="WWWW8Num3ztrue6" w:customStyle="1">
    <w:name w:val="WW-WW8Num3ztrue6"/>
    <w:qFormat/>
    <w:rPr/>
  </w:style>
  <w:style w:type="character" w:styleId="WWWW8Num1ztrue7" w:customStyle="1">
    <w:name w:val="WW-WW8Num1ztrue7"/>
    <w:qFormat/>
    <w:rPr/>
  </w:style>
  <w:style w:type="character" w:styleId="WWWW8Num1ztrue111" w:customStyle="1">
    <w:name w:val="WW-WW8Num1ztrue111"/>
    <w:qFormat/>
    <w:rPr/>
  </w:style>
  <w:style w:type="character" w:styleId="WWWW8Num1ztrue21" w:customStyle="1">
    <w:name w:val="WW-WW8Num1ztrue21"/>
    <w:qFormat/>
    <w:rPr/>
  </w:style>
  <w:style w:type="character" w:styleId="WWWW8Num1ztrue31" w:customStyle="1">
    <w:name w:val="WW-WW8Num1ztrue31"/>
    <w:qFormat/>
    <w:rPr/>
  </w:style>
  <w:style w:type="character" w:styleId="WWWW8Num1ztrue41" w:customStyle="1">
    <w:name w:val="WW-WW8Num1ztrue41"/>
    <w:qFormat/>
    <w:rPr/>
  </w:style>
  <w:style w:type="character" w:styleId="WWWW8Num1ztrue51" w:customStyle="1">
    <w:name w:val="WW-WW8Num1ztrue51"/>
    <w:qFormat/>
    <w:rPr/>
  </w:style>
  <w:style w:type="character" w:styleId="WWWW8Num1ztrue61" w:customStyle="1">
    <w:name w:val="WW-WW8Num1ztrue61"/>
    <w:qFormat/>
    <w:rPr/>
  </w:style>
  <w:style w:type="character" w:styleId="WW8Num2zfalse" w:customStyle="1">
    <w:name w:val="WW8Num2zfalse"/>
    <w:qFormat/>
    <w:rPr/>
  </w:style>
  <w:style w:type="character" w:styleId="WW8Num2ztrue" w:customStyle="1">
    <w:name w:val="WW8Num2ztrue"/>
    <w:qFormat/>
    <w:rPr/>
  </w:style>
  <w:style w:type="character" w:styleId="WWWW8Num2ztrue" w:customStyle="1">
    <w:name w:val="WW-WW8Num2ztrue"/>
    <w:qFormat/>
    <w:rPr/>
  </w:style>
  <w:style w:type="character" w:styleId="WWWW8Num2ztrue1" w:customStyle="1">
    <w:name w:val="WW-WW8Num2ztrue1"/>
    <w:qFormat/>
    <w:rPr/>
  </w:style>
  <w:style w:type="character" w:styleId="WWWW8Num2ztrue2" w:customStyle="1">
    <w:name w:val="WW-WW8Num2ztrue2"/>
    <w:qFormat/>
    <w:rPr/>
  </w:style>
  <w:style w:type="character" w:styleId="WWWW8Num2ztrue3" w:customStyle="1">
    <w:name w:val="WW-WW8Num2ztrue3"/>
    <w:qFormat/>
    <w:rPr/>
  </w:style>
  <w:style w:type="character" w:styleId="WWWW8Num2ztrue4" w:customStyle="1">
    <w:name w:val="WW-WW8Num2ztrue4"/>
    <w:qFormat/>
    <w:rPr/>
  </w:style>
  <w:style w:type="character" w:styleId="WWWW8Num2ztrue5" w:customStyle="1">
    <w:name w:val="WW-WW8Num2ztrue5"/>
    <w:qFormat/>
    <w:rPr/>
  </w:style>
  <w:style w:type="character" w:styleId="WWWW8Num2ztrue6" w:customStyle="1">
    <w:name w:val="WW-WW8Num2ztrue6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Smbolosdenumerao" w:customStyle="1">
    <w:name w:val="Símbolos de numeração"/>
    <w:qFormat/>
    <w:rPr/>
  </w:style>
  <w:style w:type="character" w:styleId="Caracteresdenotaderodap" w:customStyle="1">
    <w:name w:val="Caracteres de nota de rodapé"/>
    <w:qFormat/>
    <w:rPr/>
  </w:style>
  <w:style w:type="character" w:styleId="Ncoradanotaderodap" w:customStyle="1">
    <w:name w:val="Âncora da nota de rodapé"/>
    <w:rPr>
      <w:vertAlign w:val="superscript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WWCaracteresdenotadefim" w:customStyle="1">
    <w:name w:val="WW-Caracteres de nota de fim"/>
    <w:qFormat/>
    <w:rPr/>
  </w:style>
  <w:style w:type="character" w:styleId="Marcas" w:customStyle="1">
    <w:name w:val="Marcas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Ncoradanotadefim" w:customStyle="1">
    <w:name w:val="Âncora da nota de fim"/>
    <w:rPr>
      <w:vertAlign w:val="superscript"/>
    </w:rPr>
  </w:style>
  <w:style w:type="character" w:styleId="Nfaseforte" w:customStyle="1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Ncoradenotaderodap" w:customStyle="1">
    <w:name w:val="Âncora de nota de rodapé"/>
    <w:qFormat/>
    <w:rPr>
      <w:vertAlign w:val="superscript"/>
    </w:rPr>
  </w:style>
  <w:style w:type="character" w:styleId="Ncoradenotadefim" w:customStyle="1">
    <w:name w:val="Âncora de nota de fim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extodenotaderodapChar" w:customStyle="1">
    <w:name w:val="Texto de nota de rodapé Char"/>
    <w:basedOn w:val="DefaultParagraphFont"/>
    <w:qFormat/>
    <w:rPr>
      <w:sz w:val="20"/>
      <w:szCs w:val="18"/>
    </w:rPr>
  </w:style>
  <w:style w:type="character" w:styleId="LinkdaInternet">
    <w:name w:val="Link da Internet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eastAsia="Segoe UI" w:cs="Segoe UI"/>
      <w:sz w:val="18"/>
      <w:szCs w:val="16"/>
    </w:rPr>
  </w:style>
  <w:style w:type="character" w:styleId="VisitedInternetLink" w:customStyle="1">
    <w:name w:val="Visited Internet Link"/>
    <w:qFormat/>
    <w:rPr>
      <w:color w:val="800000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b67449"/>
    <w:rPr>
      <w:rFonts w:ascii="Arial" w:hAnsi="Arial" w:eastAsia="Microsoft YaHei"/>
      <w:b/>
      <w:bCs/>
      <w:kern w:val="2"/>
      <w:sz w:val="36"/>
      <w:szCs w:val="36"/>
    </w:rPr>
  </w:style>
  <w:style w:type="character" w:styleId="Ttulo2Char" w:customStyle="1">
    <w:name w:val="Título 2 Char"/>
    <w:basedOn w:val="DefaultParagraphFont"/>
    <w:link w:val="Ttulo2"/>
    <w:qFormat/>
    <w:rsid w:val="00b67449"/>
    <w:rPr>
      <w:rFonts w:ascii="Times New Roman" w:hAnsi="Times New Roman" w:eastAsia="Arial Unicode MS" w:cs="Tahoma"/>
      <w:b/>
      <w:bCs/>
      <w:kern w:val="2"/>
      <w:sz w:val="36"/>
      <w:szCs w:val="36"/>
    </w:rPr>
  </w:style>
  <w:style w:type="character" w:styleId="Ttulo3Char" w:customStyle="1">
    <w:name w:val="Título 3 Char"/>
    <w:basedOn w:val="DefaultParagraphFont"/>
    <w:link w:val="Ttulo3"/>
    <w:qFormat/>
    <w:rsid w:val="00b67449"/>
    <w:rPr>
      <w:rFonts w:ascii="Arial" w:hAnsi="Arial" w:eastAsia="Microsoft YaHei"/>
      <w:b/>
      <w:bCs/>
      <w:kern w:val="2"/>
      <w:sz w:val="28"/>
      <w:szCs w:val="28"/>
    </w:rPr>
  </w:style>
  <w:style w:type="character" w:styleId="TituloN1Char" w:customStyle="1">
    <w:name w:val="Titulo - N1 Char"/>
    <w:basedOn w:val="Ttulo1Char"/>
    <w:link w:val="Titulo-N1"/>
    <w:qFormat/>
    <w:rsid w:val="00b67449"/>
    <w:rPr>
      <w:rFonts w:ascii="Arial" w:hAnsi="Arial" w:eastAsia="Microsoft YaHei" w:cs="Arial"/>
      <w:b/>
      <w:bCs/>
      <w:kern w:val="2"/>
      <w:sz w:val="36"/>
      <w:szCs w:val="36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b67449"/>
    <w:rPr>
      <w:szCs w:val="21"/>
    </w:rPr>
  </w:style>
  <w:style w:type="character" w:styleId="TtuloChar" w:customStyle="1">
    <w:name w:val="Título Char"/>
    <w:basedOn w:val="DefaultParagraphFont"/>
    <w:link w:val="Ttulo"/>
    <w:uiPriority w:val="10"/>
    <w:qFormat/>
    <w:rsid w:val="00b67449"/>
    <w:rPr>
      <w:rFonts w:ascii="Calibri Light" w:hAnsi="Calibri Light" w:eastAsia="" w:asciiTheme="majorHAnsi" w:eastAsiaTheme="majorEastAsia" w:hAnsiTheme="majorHAnsi"/>
      <w:spacing w:val="-10"/>
      <w:kern w:val="2"/>
      <w:sz w:val="56"/>
      <w:szCs w:val="50"/>
    </w:rPr>
  </w:style>
  <w:style w:type="character" w:styleId="Recuodecorpodetexto3Char" w:customStyle="1">
    <w:name w:val="Recuo de corpo de texto 3 Char"/>
    <w:basedOn w:val="DefaultParagraphFont"/>
    <w:link w:val="Recuodecorpodetexto3"/>
    <w:uiPriority w:val="99"/>
    <w:qFormat/>
    <w:rsid w:val="00b67449"/>
    <w:rPr>
      <w:rFonts w:ascii="Times New Roman" w:hAnsi="Times New Roman"/>
      <w:kern w:val="2"/>
      <w:sz w:val="16"/>
      <w:szCs w:val="14"/>
    </w:rPr>
  </w:style>
  <w:style w:type="character" w:styleId="Markedcontent" w:customStyle="1">
    <w:name w:val="markedcontent"/>
    <w:basedOn w:val="DefaultParagraphFont"/>
    <w:qFormat/>
    <w:rsid w:val="00b67449"/>
    <w:rPr/>
  </w:style>
  <w:style w:type="character" w:styleId="TextosemFormataoChar" w:customStyle="1">
    <w:name w:val="Texto sem Formatação Char"/>
    <w:basedOn w:val="DefaultParagraphFont"/>
    <w:link w:val="TextosemFormatao"/>
    <w:qFormat/>
    <w:rsid w:val="00b67449"/>
    <w:rPr>
      <w:rFonts w:ascii="Courier New" w:hAnsi="Courier New" w:eastAsia="Times New Roman" w:cs="Times New Roman"/>
      <w:kern w:val="0"/>
      <w:sz w:val="20"/>
      <w:szCs w:val="20"/>
      <w:lang w:eastAsia="pt-BR" w:bidi="ar-SA"/>
    </w:rPr>
  </w:style>
  <w:style w:type="character" w:styleId="Fontepargpadro1" w:customStyle="1">
    <w:name w:val="Fonte parág. padrão1"/>
    <w:qFormat/>
    <w:rsid w:val="00cb4ce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9b63b7"/>
    <w:rPr/>
  </w:style>
  <w:style w:type="character" w:styleId="CabealhoChar" w:customStyle="1">
    <w:name w:val="Cabeçalho Char"/>
    <w:basedOn w:val="DefaultParagraphFont"/>
    <w:link w:val="Cabealho"/>
    <w:qFormat/>
    <w:rsid w:val="009b63b7"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b67449"/>
    <w:pPr>
      <w:spacing w:before="0" w:after="120"/>
    </w:pPr>
    <w:rPr>
      <w:szCs w:val="21"/>
    </w:rPr>
  </w:style>
  <w:style w:type="paragraph" w:styleId="Lista">
    <w:name w:val="List"/>
    <w:basedOn w:val="Textbody"/>
    <w:pPr/>
    <w:rPr>
      <w:rFonts w:eastAsia="Myriad Pro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eastAsia="Myriad Pro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b67449"/>
    <w:pPr>
      <w:spacing w:before="0" w:after="0"/>
      <w:contextualSpacing/>
    </w:pPr>
    <w:rPr>
      <w:rFonts w:ascii="Calibri Light" w:hAnsi="Calibri Light" w:eastAsia="" w:asciiTheme="majorHAnsi" w:eastAsiaTheme="majorEastAsia" w:hAnsiTheme="majorHAnsi"/>
      <w:spacing w:val="-10"/>
      <w:kern w:val="2"/>
      <w:sz w:val="56"/>
      <w:szCs w:val="50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lineRule="auto" w:line="276" w:before="0" w:after="200"/>
      <w:jc w:val="left"/>
      <w:textAlignment w:val="baseline"/>
    </w:pPr>
    <w:rPr>
      <w:rFonts w:eastAsia="Times New Roman" w:ascii="Myriad Pro" w:hAnsi="Myriad Pro" w:cs="Mang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eastAsia="Myriad Pro"/>
      <w:i/>
      <w:iCs/>
    </w:rPr>
  </w:style>
  <w:style w:type="paragraph" w:styleId="CabealhoeRodap" w:customStyle="1">
    <w:name w:val="Cabeçalho e Rodapé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Standard"/>
    <w:link w:val="RodapChar"/>
    <w:uiPriority w:val="99"/>
    <w:pPr>
      <w:suppressLineNumbers/>
      <w:tabs>
        <w:tab w:val="clear" w:pos="720"/>
        <w:tab w:val="center" w:pos="4462" w:leader="none"/>
        <w:tab w:val="right" w:pos="8925" w:leader="none"/>
      </w:tabs>
    </w:pPr>
    <w:rPr/>
  </w:style>
  <w:style w:type="paragraph" w:styleId="Cabealho">
    <w:name w:val="Header"/>
    <w:basedOn w:val="Standard"/>
    <w:link w:val="CabealhoChar"/>
    <w:pPr>
      <w:suppressLineNumbers/>
      <w:tabs>
        <w:tab w:val="clear" w:pos="720"/>
        <w:tab w:val="center" w:pos="4462" w:leader="none"/>
        <w:tab w:val="right" w:pos="8925" w:leader="none"/>
      </w:tabs>
    </w:pPr>
    <w:rPr/>
  </w:style>
  <w:style w:type="paragraph" w:styleId="LONormal" w:customStyle="1">
    <w:name w:val="LO-Normal"/>
    <w:qFormat/>
    <w:pPr>
      <w:widowControl w:val="false"/>
      <w:suppressAutoHyphens w:val="true"/>
      <w:bidi w:val="0"/>
      <w:jc w:val="left"/>
      <w:textAlignment w:val="baseline"/>
    </w:pPr>
    <w:rPr>
      <w:rFonts w:ascii="Myriad Pro" w:hAnsi="Myriad Pro" w:eastAsia="SimSun" w:cs="Mangal"/>
      <w:color w:val="auto"/>
      <w:kern w:val="2"/>
      <w:sz w:val="24"/>
      <w:szCs w:val="24"/>
      <w:lang w:val="pt-BR" w:eastAsia="zh-CN" w:bidi="hi-IN"/>
    </w:rPr>
  </w:style>
  <w:style w:type="paragraph" w:styleId="Footnote" w:customStyle="1">
    <w:name w:val="Footnote"/>
    <w:basedOn w:val="Standard"/>
    <w:qFormat/>
    <w:rsid w:val="00797c4f"/>
    <w:pPr>
      <w:widowControl w:val="false"/>
      <w:overflowPunct w:val="false"/>
      <w:spacing w:lineRule="auto" w:line="240" w:before="0" w:after="0"/>
      <w:jc w:val="both"/>
    </w:pPr>
    <w:rPr>
      <w:rFonts w:eastAsia="SimSun"/>
      <w:sz w:val="20"/>
      <w:szCs w:val="18"/>
    </w:rPr>
  </w:style>
  <w:style w:type="paragraph" w:styleId="Corpodetexto21" w:customStyle="1">
    <w:name w:val="Corpo de texto 21"/>
    <w:basedOn w:val="Standard"/>
    <w:qFormat/>
    <w:pPr>
      <w:tabs>
        <w:tab w:val="clear" w:pos="720"/>
        <w:tab w:val="left" w:pos="1418" w:leader="none"/>
      </w:tabs>
      <w:spacing w:lineRule="atLeast" w:line="100" w:before="240" w:after="0"/>
      <w:jc w:val="both"/>
    </w:pPr>
    <w:rPr>
      <w:rFonts w:ascii="Arial" w:hAnsi="Arial" w:eastAsia="Times New Roman" w:cs="Arial"/>
      <w:szCs w:val="20"/>
    </w:rPr>
  </w:style>
  <w:style w:type="paragraph" w:styleId="Textbodyindent" w:customStyle="1">
    <w:name w:val="Text body indent"/>
    <w:basedOn w:val="Standard"/>
    <w:qFormat/>
    <w:pPr>
      <w:spacing w:lineRule="auto" w:line="360"/>
      <w:ind w:firstLine="709"/>
      <w:jc w:val="both"/>
    </w:pPr>
    <w:rPr/>
  </w:style>
  <w:style w:type="paragraph" w:styleId="Style31" w:customStyle="1">
    <w:name w:val="style3"/>
    <w:basedOn w:val="Standard"/>
    <w:qFormat/>
    <w:pPr>
      <w:spacing w:before="280" w:after="280"/>
    </w:pPr>
    <w:rPr/>
  </w:style>
  <w:style w:type="paragraph" w:styleId="LONormal1" w:customStyle="1">
    <w:name w:val="LO-Normal1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Calibri, 'Century Gothic'" w:cs="Times New Roman"/>
      <w:color w:val="000000"/>
      <w:kern w:val="2"/>
      <w:sz w:val="24"/>
      <w:szCs w:val="24"/>
      <w:lang w:bidi="ar-SA" w:val="pt-BR" w:eastAsia="zh-CN"/>
    </w:rPr>
  </w:style>
  <w:style w:type="paragraph" w:styleId="Contedodatabela" w:customStyle="1">
    <w:name w:val="Conteúdo da tabela"/>
    <w:basedOn w:val="Normal"/>
    <w:qFormat/>
    <w:rsid w:val="00cb4ced"/>
    <w:pPr>
      <w:suppressLineNumbers/>
      <w:pBdr/>
    </w:pPr>
    <w:rPr>
      <w:rFonts w:ascii="Times New Roman" w:hAnsi="Times New Roman"/>
      <w:kern w:val="2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 w:hanging="0"/>
    </w:pPr>
    <w:rPr>
      <w:szCs w:val="21"/>
    </w:rPr>
  </w:style>
  <w:style w:type="paragraph" w:styleId="Notaderodap">
    <w:name w:val="Footnote Text"/>
    <w:basedOn w:val="Normal"/>
    <w:pPr/>
    <w:rPr>
      <w:sz w:val="20"/>
      <w:szCs w:val="18"/>
    </w:rPr>
  </w:style>
  <w:style w:type="paragraph" w:styleId="NormalWeb">
    <w:name w:val="Normal (Web)"/>
    <w:basedOn w:val="Normal"/>
    <w:uiPriority w:val="99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Douparagraph" w:customStyle="1">
    <w:name w:val="dou-paragraph"/>
    <w:basedOn w:val="Normal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BalloonText">
    <w:name w:val="Balloon Text"/>
    <w:basedOn w:val="Normal"/>
    <w:qFormat/>
    <w:pPr/>
    <w:rPr>
      <w:rFonts w:ascii="Segoe UI" w:hAnsi="Segoe UI" w:eastAsia="Segoe UI" w:cs="Segoe UI"/>
      <w:sz w:val="18"/>
      <w:szCs w:val="16"/>
    </w:rPr>
  </w:style>
  <w:style w:type="paragraph" w:styleId="Textbody1" w:customStyle="1">
    <w:name w:val="textbody"/>
    <w:basedOn w:val="Normal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Default" w:customStyle="1">
    <w:name w:val="Default"/>
    <w:qFormat/>
    <w:pPr>
      <w:widowControl w:val="false"/>
      <w:bidi w:val="0"/>
      <w:jc w:val="left"/>
      <w:textAlignment w:val="baseline"/>
    </w:pPr>
    <w:rPr>
      <w:rFonts w:ascii="Arial" w:hAnsi="Arial" w:eastAsia="Arial" w:cs="Arial"/>
      <w:color w:val="000000"/>
      <w:kern w:val="2"/>
      <w:sz w:val="24"/>
      <w:szCs w:val="24"/>
      <w:lang w:val="pt-BR" w:eastAsia="zh-CN" w:bidi="hi-IN"/>
    </w:rPr>
  </w:style>
  <w:style w:type="paragraph" w:styleId="Tabelanormal1" w:customStyle="1">
    <w:name w:val="Tabela normal1"/>
    <w:qFormat/>
    <w:pPr>
      <w:widowControl/>
      <w:bidi w:val="0"/>
      <w:jc w:val="left"/>
      <w:textAlignment w:val="auto"/>
    </w:pPr>
    <w:rPr>
      <w:rFonts w:ascii="Open Sans" w:hAnsi="Open Sans" w:eastAsia="Open Sans" w:cs="Open Sans"/>
      <w:color w:val="auto"/>
      <w:kern w:val="2"/>
      <w:sz w:val="20"/>
      <w:szCs w:val="24"/>
      <w:lang w:val="pt-BR" w:eastAsia="zh-CN" w:bidi="hi-IN"/>
    </w:rPr>
  </w:style>
  <w:style w:type="paragraph" w:styleId="LOnormal2" w:customStyle="1">
    <w:name w:val="LO-normal"/>
    <w:qFormat/>
    <w:rsid w:val="00be679e"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uloN1" w:customStyle="1">
    <w:name w:val="Titulo - N1"/>
    <w:basedOn w:val="Ttulo1"/>
    <w:link w:val="Titulo-N1Char"/>
    <w:qFormat/>
    <w:rsid w:val="00b67449"/>
    <w:pPr>
      <w:numPr>
        <w:ilvl w:val="0"/>
        <w:numId w:val="0"/>
      </w:numPr>
    </w:pPr>
    <w:rPr>
      <w:rFonts w:cs="Arial"/>
    </w:rPr>
  </w:style>
  <w:style w:type="paragraph" w:styleId="BodyTextIndent3">
    <w:name w:val="Body Text Indent 3"/>
    <w:basedOn w:val="Normal"/>
    <w:link w:val="Recuodecorpodetexto3Char"/>
    <w:uiPriority w:val="99"/>
    <w:unhideWhenUsed/>
    <w:qFormat/>
    <w:rsid w:val="00b67449"/>
    <w:pPr>
      <w:pBdr/>
      <w:spacing w:before="0" w:after="120"/>
      <w:ind w:left="283" w:hanging="0"/>
    </w:pPr>
    <w:rPr>
      <w:rFonts w:ascii="Times New Roman" w:hAnsi="Times New Roman"/>
      <w:kern w:val="2"/>
      <w:sz w:val="16"/>
      <w:szCs w:val="14"/>
    </w:rPr>
  </w:style>
  <w:style w:type="paragraph" w:styleId="PlainText">
    <w:name w:val="Plain Text"/>
    <w:basedOn w:val="Normal"/>
    <w:link w:val="TextosemFormataoChar"/>
    <w:unhideWhenUsed/>
    <w:qFormat/>
    <w:rsid w:val="00b67449"/>
    <w:pPr>
      <w:widowControl/>
      <w:suppressAutoHyphens w:val="false"/>
      <w:textAlignment w:val="auto"/>
    </w:pPr>
    <w:rPr>
      <w:rFonts w:ascii="Courier New" w:hAnsi="Courier New" w:eastAsia="Times New Roman" w:cs="Times New Roman"/>
      <w:kern w:val="0"/>
      <w:sz w:val="20"/>
      <w:szCs w:val="20"/>
      <w:lang w:eastAsia="pt-BR" w:bidi="ar-SA"/>
    </w:rPr>
  </w:style>
  <w:style w:type="paragraph" w:styleId="Western" w:customStyle="1">
    <w:name w:val="western"/>
    <w:basedOn w:val="Normal"/>
    <w:qFormat/>
    <w:rsid w:val="00cb4ced"/>
    <w:pPr>
      <w:widowControl/>
      <w:suppressAutoHyphens w:val="false"/>
      <w:spacing w:beforeAutospacing="1" w:after="119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67449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municacao.pr.gov.br/Pagina/Identidade-Visual-do-Governo-do-Parana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D7F236E252467AB97291B02A97B9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86865-A775-4AA5-9663-151C6261BBB4}"/>
      </w:docPartPr>
      <w:docPartBody>
        <w:p w:rsidR="00EB175B" w:rsidRDefault="00691297" w:rsidP="00691297">
          <w:pPr>
            <w:pStyle w:val="2ED7F236E252467AB97291B02A97B95B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Century Gothic'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97"/>
    <w:rsid w:val="00162B97"/>
    <w:rsid w:val="001E530C"/>
    <w:rsid w:val="002415B3"/>
    <w:rsid w:val="004916A7"/>
    <w:rsid w:val="00567902"/>
    <w:rsid w:val="005C0C0C"/>
    <w:rsid w:val="005E1761"/>
    <w:rsid w:val="00691297"/>
    <w:rsid w:val="008D164A"/>
    <w:rsid w:val="00C35452"/>
    <w:rsid w:val="00D93FD9"/>
    <w:rsid w:val="00EB175B"/>
    <w:rsid w:val="00EB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91297"/>
  </w:style>
  <w:style w:type="paragraph" w:customStyle="1" w:styleId="2ED7F236E252467AB97291B02A97B95B">
    <w:name w:val="2ED7F236E252467AB97291B02A97B95B"/>
    <w:rsid w:val="00691297"/>
  </w:style>
  <w:style w:type="paragraph" w:customStyle="1" w:styleId="908A734284DC4AC391D87064005283BC">
    <w:name w:val="908A734284DC4AC391D87064005283BC"/>
    <w:rsid w:val="00691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41FCF-2B80-4B51-99FB-0CE862B8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Parecer 03-2020 - 16.664.229-9 - padronização minuta instrumento e lista de verificação - objeto definido - aplicação emenda parlamentar - Portarias 488 e 545 de 2020 -%</Template>
  <TotalTime>7</TotalTime>
  <Application>LibreOffice/6.3.3.2$Windows_X86_64 LibreOffice_project/a64200df03143b798afd1ec74a12ab50359878ed</Application>
  <Pages>4</Pages>
  <Words>3094</Words>
  <Characters>17089</Characters>
  <CharactersWithSpaces>20038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2023-11-08T11:23:00Z</dcterms:created>
  <dc:creator>Laucymara</dc:creator>
  <dc:description/>
  <dc:language>pt-BR</dc:language>
  <cp:lastModifiedBy>Jeane Andreane Pavelegini Medeiros de Brito</cp:lastModifiedBy>
  <cp:lastPrinted>2018-12-05T14:18:00Z</cp:lastPrinted>
  <dcterms:modified xsi:type="dcterms:W3CDTF">2023-11-08T12:25:00Z</dcterms:modified>
  <cp:revision>7</cp:revision>
  <dc:subject/>
  <dc:title>Campo Grande – MS, 20 de julho de 2001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