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ListParagraph"/>
        <w:widowControl/>
        <w:shd w:val="clear" w:color="auto" w:fill="E7E6E6" w:themeFill="background2"/>
        <w:spacing w:lineRule="auto" w:line="259" w:before="0" w:after="160"/>
        <w:ind w:left="0" w:hanging="0"/>
        <w:contextualSpacing/>
        <w:jc w:val="center"/>
        <w:rPr>
          <w:rFonts w:eastAsia="Calibri"/>
          <w:color w:val="00000A"/>
          <w:sz w:val="24"/>
          <w:szCs w:val="24"/>
          <w:lang w:val="pt-BR"/>
        </w:rPr>
      </w:pPr>
      <w:r>
        <w:rPr>
          <w:rFonts w:eastAsia="Calibri"/>
          <w:color w:val="00000A"/>
          <w:sz w:val="24"/>
          <w:szCs w:val="24"/>
          <w:lang w:val="pt-BR"/>
        </w:rPr>
        <w:t xml:space="preserve">ANEXO </w:t>
      </w:r>
      <w:r>
        <w:rPr>
          <w:rFonts w:eastAsia="Calibri"/>
          <w:color w:val="00000A"/>
          <w:sz w:val="24"/>
          <w:szCs w:val="24"/>
          <w:highlight w:val="yellow"/>
          <w:lang w:val="pt-BR"/>
        </w:rPr>
        <w:t>XXX</w:t>
      </w:r>
      <w:r>
        <w:rPr>
          <w:rFonts w:eastAsia="Calibri"/>
          <w:color w:val="00000A"/>
          <w:sz w:val="24"/>
          <w:szCs w:val="24"/>
          <w:lang w:val="pt-BR"/>
        </w:rPr>
        <w:t xml:space="preserve"> - ANEXO À NOTA DE EMPENHO</w:t>
      </w:r>
    </w:p>
    <w:p>
      <w:pPr>
        <w:pStyle w:val="Cabealho"/>
        <w:widowControl/>
        <w:tabs>
          <w:tab w:val="left" w:pos="284" w:leader="none"/>
          <w:tab w:val="center" w:pos="4252" w:leader="none"/>
          <w:tab w:val="right" w:pos="8504" w:leader="none"/>
        </w:tabs>
        <w:spacing w:lineRule="auto" w:line="360"/>
        <w:ind w:left="1560" w:right="113" w:hanging="0"/>
        <w:jc w:val="both"/>
        <w:rPr>
          <w:sz w:val="24"/>
        </w:rPr>
      </w:pPr>
      <w:r>
        <w:rPr>
          <w:sz w:val="24"/>
        </w:rPr>
      </w:r>
    </w:p>
    <w:p>
      <w:pPr>
        <w:pStyle w:val="Normal"/>
        <w:widowControl/>
        <w:spacing w:lineRule="auto" w:line="259" w:beforeAutospacing="1" w:after="159"/>
        <w:ind w:left="1433" w:firstLine="691"/>
        <w:rPr>
          <w:rFonts w:eastAsia="Times New Roman"/>
          <w:sz w:val="24"/>
          <w:szCs w:val="24"/>
          <w:lang w:eastAsia="pt-BR"/>
        </w:rPr>
      </w:pPr>
      <w:r>
        <w:rPr>
          <w:rFonts w:eastAsia="Times New Roman"/>
          <w:b/>
          <w:bCs/>
          <w:sz w:val="24"/>
          <w:szCs w:val="24"/>
          <w:shd w:fill="FFFFFF" w:val="clear"/>
          <w:lang w:eastAsia="pt-BR"/>
        </w:rPr>
        <w:t>ANEXO À NOTA DE EMPENHO</w:t>
      </w:r>
    </w:p>
    <w:p>
      <w:pPr>
        <w:pStyle w:val="Normal"/>
        <w:widowControl/>
        <w:spacing w:before="57" w:after="57"/>
        <w:ind w:left="28" w:hanging="0"/>
        <w:rPr>
          <w:rFonts w:eastAsia="Times New Roman"/>
          <w:sz w:val="24"/>
          <w:szCs w:val="24"/>
          <w:shd w:fill="FFFFFF" w:val="clear"/>
          <w:lang w:eastAsia="pt-BR"/>
        </w:rPr>
      </w:pPr>
      <w:r>
        <w:rPr>
          <w:rFonts w:eastAsia="Times New Roman"/>
          <w:sz w:val="24"/>
          <w:szCs w:val="24"/>
          <w:shd w:fill="FFFFFF" w:val="clear"/>
          <w:lang w:eastAsia="pt-BR"/>
        </w:rPr>
      </w:r>
    </w:p>
    <w:p>
      <w:pPr>
        <w:pStyle w:val="Normal"/>
        <w:widowControl/>
        <w:spacing w:before="57" w:after="57"/>
        <w:ind w:left="28" w:hanging="0"/>
        <w:rPr>
          <w:rFonts w:eastAsia="Times New Roman"/>
          <w:sz w:val="24"/>
          <w:szCs w:val="24"/>
          <w:lang w:eastAsia="pt-BR"/>
        </w:rPr>
      </w:pPr>
      <w:r>
        <w:rPr>
          <w:rFonts w:eastAsia="Times New Roman"/>
          <w:sz w:val="24"/>
          <w:szCs w:val="24"/>
          <w:shd w:fill="FFFFFF" w:val="clear"/>
          <w:lang w:eastAsia="pt-BR"/>
        </w:rPr>
        <w:t xml:space="preserve">NOTA DE EMPENHO N° </w:t>
      </w:r>
      <w:r>
        <w:rPr>
          <w:rFonts w:eastAsia="Times New Roman"/>
          <w:sz w:val="24"/>
          <w:szCs w:val="24"/>
          <w:shd w:fill="FFFF00" w:val="clear"/>
          <w:lang w:eastAsia="pt-BR"/>
        </w:rPr>
        <w:t xml:space="preserve">XXXXXXXX </w:t>
      </w:r>
    </w:p>
    <w:p>
      <w:pPr>
        <w:pStyle w:val="Normal"/>
        <w:widowControl/>
        <w:spacing w:before="57" w:after="57"/>
        <w:ind w:left="28" w:hanging="0"/>
        <w:rPr>
          <w:rFonts w:eastAsia="Times New Roman"/>
          <w:sz w:val="24"/>
          <w:szCs w:val="24"/>
          <w:lang w:eastAsia="pt-BR"/>
        </w:rPr>
      </w:pPr>
      <w:r>
        <w:rPr>
          <w:rFonts w:eastAsia="Times New Roman"/>
          <w:sz w:val="24"/>
          <w:szCs w:val="24"/>
          <w:shd w:fill="FFFFFF" w:val="clear"/>
          <w:lang w:eastAsia="pt-BR"/>
        </w:rPr>
        <w:t xml:space="preserve">VALOR </w:t>
      </w:r>
      <w:r>
        <w:rPr>
          <w:rFonts w:eastAsia="Times New Roman"/>
          <w:sz w:val="24"/>
          <w:szCs w:val="24"/>
          <w:shd w:fill="FFFF00" w:val="clear"/>
          <w:lang w:eastAsia="pt-BR"/>
        </w:rPr>
        <w:t>XXXXXXXX</w:t>
      </w:r>
    </w:p>
    <w:p>
      <w:pPr>
        <w:pStyle w:val="Normal"/>
        <w:widowControl/>
        <w:spacing w:before="57" w:after="240"/>
        <w:ind w:left="28" w:hanging="0"/>
        <w:rPr>
          <w:rFonts w:eastAsia="Times New Roman"/>
          <w:sz w:val="24"/>
          <w:szCs w:val="24"/>
          <w:lang w:eastAsia="pt-BR"/>
        </w:rPr>
      </w:pPr>
      <w:r>
        <w:rPr>
          <w:rFonts w:eastAsia="Times New Roman"/>
          <w:sz w:val="24"/>
          <w:szCs w:val="24"/>
          <w:lang w:eastAsia="pt-BR"/>
        </w:rPr>
      </w:r>
    </w:p>
    <w:p>
      <w:pPr>
        <w:pStyle w:val="Normal"/>
        <w:widowControl/>
        <w:spacing w:beforeAutospacing="1" w:afterAutospacing="1"/>
        <w:ind w:left="28" w:hanging="0"/>
        <w:jc w:val="both"/>
        <w:rPr>
          <w:rFonts w:eastAsia="Times New Roman"/>
          <w:color w:val="000000"/>
          <w:sz w:val="24"/>
          <w:szCs w:val="24"/>
          <w:lang w:eastAsia="pt-BR"/>
        </w:rPr>
      </w:pPr>
      <w:r>
        <w:rPr>
          <w:rFonts w:eastAsia="Times New Roman"/>
          <w:b/>
          <w:bCs/>
          <w:color w:val="000000"/>
          <w:sz w:val="24"/>
          <w:szCs w:val="24"/>
          <w:lang w:eastAsia="pt-BR"/>
        </w:rPr>
        <w:t>1 DA VINCULAÇÃO AO TERMO DE REFERÊNCIA E PROPOSTA:</w:t>
      </w:r>
      <w:r>
        <w:rPr>
          <w:rFonts w:eastAsia="Times New Roman"/>
          <w:color w:val="000000"/>
          <w:sz w:val="24"/>
          <w:szCs w:val="24"/>
          <w:lang w:eastAsia="pt-BR"/>
        </w:rPr>
        <w:t xml:space="preserve"> </w:t>
      </w:r>
    </w:p>
    <w:p>
      <w:pPr>
        <w:pStyle w:val="Normal"/>
        <w:widowControl/>
        <w:spacing w:beforeAutospacing="1" w:afterAutospacing="1"/>
        <w:ind w:left="28" w:hanging="0"/>
        <w:jc w:val="both"/>
        <w:rPr>
          <w:rFonts w:eastAsia="Times New Roman"/>
          <w:sz w:val="24"/>
          <w:szCs w:val="24"/>
          <w:shd w:fill="FFFFFF" w:val="clear"/>
          <w:lang w:eastAsia="pt-BR"/>
        </w:rPr>
      </w:pPr>
      <w:r>
        <w:rPr>
          <w:rFonts w:eastAsia="Times New Roman"/>
          <w:b/>
          <w:color w:val="000000"/>
          <w:sz w:val="24"/>
          <w:szCs w:val="24"/>
          <w:lang w:eastAsia="pt-BR"/>
        </w:rPr>
        <w:t>1.1</w:t>
      </w:r>
      <w:r>
        <w:rPr>
          <w:rFonts w:eastAsia="Times New Roman"/>
          <w:color w:val="000000"/>
          <w:sz w:val="24"/>
          <w:szCs w:val="24"/>
          <w:lang w:eastAsia="pt-BR"/>
        </w:rPr>
        <w:t xml:space="preserve"> Integra este instrumento o Termo de Referência </w:t>
      </w:r>
      <w:r>
        <w:rPr>
          <w:rFonts w:eastAsia="Times New Roman"/>
          <w:color w:val="000000"/>
          <w:sz w:val="24"/>
          <w:szCs w:val="24"/>
          <w:shd w:fill="FFFFFF" w:val="clear"/>
          <w:lang w:eastAsia="pt-BR"/>
        </w:rPr>
        <w:t xml:space="preserve">n.º </w:t>
      </w:r>
      <w:r>
        <w:rPr>
          <w:rFonts w:eastAsia="Times New Roman"/>
          <w:color w:val="000000"/>
          <w:sz w:val="24"/>
          <w:szCs w:val="24"/>
          <w:shd w:fill="FFFF00" w:val="clear"/>
          <w:lang w:eastAsia="pt-BR"/>
        </w:rPr>
        <w:t>XXXXXXXX</w:t>
      </w:r>
      <w:r>
        <w:rPr>
          <w:rFonts w:eastAsia="Times New Roman"/>
          <w:color w:val="000000"/>
          <w:sz w:val="24"/>
          <w:szCs w:val="24"/>
          <w:shd w:fill="FFFFFF" w:val="clear"/>
          <w:lang w:eastAsia="pt-BR"/>
        </w:rPr>
        <w:t xml:space="preserve">, bem como o Descritivo da Proposta de Preços constantes do Protocolado n.º </w:t>
      </w:r>
      <w:r>
        <w:rPr>
          <w:rFonts w:eastAsia="Times New Roman"/>
          <w:color w:val="000000"/>
          <w:sz w:val="24"/>
          <w:szCs w:val="24"/>
          <w:shd w:fill="FFFF00" w:val="clear"/>
          <w:lang w:eastAsia="pt-BR"/>
        </w:rPr>
        <w:t>XXXXXXXX,</w:t>
      </w:r>
      <w:r>
        <w:rPr>
          <w:rFonts w:eastAsia="Times New Roman"/>
          <w:color w:val="000000"/>
          <w:sz w:val="24"/>
          <w:szCs w:val="24"/>
          <w:shd w:fill="FFFFFF" w:val="clear"/>
          <w:lang w:eastAsia="pt-BR"/>
        </w:rPr>
        <w:t xml:space="preserve"> </w:t>
      </w:r>
      <w:r>
        <w:rPr>
          <w:rFonts w:eastAsia="Times New Roman"/>
          <w:sz w:val="24"/>
          <w:szCs w:val="24"/>
          <w:shd w:fill="FFFFFF" w:val="clear"/>
          <w:lang w:eastAsia="pt-BR"/>
        </w:rPr>
        <w:t xml:space="preserve">independentemente de transcrição. </w:t>
      </w:r>
    </w:p>
    <w:p>
      <w:pPr>
        <w:pStyle w:val="Normal"/>
        <w:widowControl/>
        <w:spacing w:beforeAutospacing="1" w:afterAutospacing="1"/>
        <w:ind w:left="28" w:hanging="0"/>
        <w:jc w:val="both"/>
        <w:rPr>
          <w:rFonts w:eastAsia="Times New Roman"/>
          <w:sz w:val="24"/>
          <w:szCs w:val="24"/>
          <w:lang w:eastAsia="pt-BR"/>
        </w:rPr>
      </w:pPr>
      <w:r>
        <w:rPr>
          <w:rFonts w:eastAsia="Times New Roman"/>
          <w:b/>
          <w:bCs/>
          <w:sz w:val="24"/>
          <w:szCs w:val="24"/>
          <w:lang w:eastAsia="pt-BR"/>
        </w:rPr>
        <w:t>1.2</w:t>
      </w:r>
      <w:r>
        <w:rPr>
          <w:rFonts w:eastAsia="Times New Roman"/>
          <w:sz w:val="24"/>
          <w:szCs w:val="24"/>
          <w:lang w:eastAsia="pt-BR"/>
        </w:rPr>
        <w:t xml:space="preserve"> No caso de contradição entre disposições constantes nos documentos mencionados, prevalece a disciplina inserta no Termo de Referência.</w:t>
      </w:r>
    </w:p>
    <w:p>
      <w:pPr>
        <w:pStyle w:val="Normal"/>
        <w:widowControl/>
        <w:spacing w:beforeAutospacing="1" w:afterAutospacing="1"/>
        <w:ind w:left="28" w:hanging="0"/>
        <w:jc w:val="both"/>
        <w:rPr>
          <w:rFonts w:eastAsia="Times New Roman"/>
          <w:b/>
          <w:bCs/>
          <w:color w:val="000000"/>
          <w:sz w:val="24"/>
          <w:szCs w:val="24"/>
          <w:shd w:fill="FFFFFF" w:val="clear"/>
          <w:lang w:eastAsia="pt-BR"/>
        </w:rPr>
      </w:pPr>
      <w:r>
        <w:rPr>
          <w:rFonts w:eastAsia="Times New Roman"/>
          <w:b/>
          <w:bCs/>
          <w:color w:val="000000"/>
          <w:sz w:val="24"/>
          <w:szCs w:val="24"/>
          <w:shd w:fill="FFFFFF" w:val="clear"/>
          <w:lang w:eastAsia="pt-BR"/>
        </w:rPr>
        <w:t>2</w:t>
      </w:r>
      <w:r>
        <w:rPr>
          <w:rFonts w:eastAsia="Times New Roman"/>
          <w:color w:val="000000"/>
          <w:sz w:val="24"/>
          <w:szCs w:val="24"/>
          <w:shd w:fill="FFFFFF" w:val="clear"/>
          <w:lang w:eastAsia="pt-BR"/>
        </w:rPr>
        <w:t xml:space="preserve"> </w:t>
      </w:r>
      <w:r>
        <w:rPr>
          <w:rFonts w:eastAsia="Times New Roman"/>
          <w:b/>
          <w:bCs/>
          <w:color w:val="000000"/>
          <w:sz w:val="24"/>
          <w:szCs w:val="24"/>
          <w:shd w:fill="FFFFFF" w:val="clear"/>
          <w:lang w:eastAsia="pt-BR"/>
        </w:rPr>
        <w:t>DO</w:t>
      </w:r>
      <w:r>
        <w:rPr>
          <w:rFonts w:eastAsia="Times New Roman"/>
          <w:color w:val="000000"/>
          <w:sz w:val="24"/>
          <w:szCs w:val="24"/>
          <w:shd w:fill="FFFFFF" w:val="clear"/>
          <w:lang w:eastAsia="pt-BR"/>
        </w:rPr>
        <w:t xml:space="preserve"> </w:t>
      </w:r>
      <w:r>
        <w:rPr>
          <w:rFonts w:eastAsia="Times New Roman"/>
          <w:b/>
          <w:bCs/>
          <w:color w:val="000000"/>
          <w:sz w:val="24"/>
          <w:szCs w:val="24"/>
          <w:shd w:fill="FFFFFF" w:val="clear"/>
          <w:lang w:eastAsia="pt-BR"/>
        </w:rPr>
        <w:t xml:space="preserve">PAGAMENTO: </w:t>
      </w:r>
    </w:p>
    <w:p>
      <w:pPr>
        <w:pStyle w:val="Normal"/>
        <w:widowControl/>
        <w:spacing w:beforeAutospacing="1" w:afterAutospacing="1"/>
        <w:ind w:left="28" w:hanging="0"/>
        <w:jc w:val="both"/>
        <w:rPr>
          <w:rFonts w:eastAsia="Times New Roman"/>
          <w:color w:val="000000"/>
          <w:sz w:val="24"/>
          <w:szCs w:val="24"/>
          <w:shd w:fill="FFFFFF" w:val="clear"/>
          <w:lang w:eastAsia="pt-BR"/>
        </w:rPr>
      </w:pPr>
      <w:r>
        <w:rPr>
          <w:rFonts w:eastAsia="Times New Roman"/>
          <w:b/>
          <w:color w:val="000000"/>
          <w:sz w:val="24"/>
          <w:szCs w:val="24"/>
          <w:shd w:fill="FFFFFF" w:val="clear"/>
          <w:lang w:eastAsia="pt-BR"/>
        </w:rPr>
        <w:t>2.1</w:t>
      </w:r>
      <w:r>
        <w:rPr>
          <w:rFonts w:eastAsia="Times New Roman"/>
          <w:color w:val="000000"/>
          <w:sz w:val="24"/>
          <w:szCs w:val="24"/>
          <w:shd w:fill="FFFFFF" w:val="clear"/>
          <w:lang w:eastAsia="pt-BR"/>
        </w:rPr>
        <w:t xml:space="preserve"> O pagamento de cada fatura deverá ser realizada em um prazo não superior a 30 (trinta) dias contados a partir do atesto da Nota Fiscal, após comprovado o adimplemento do Contratado em todas as suas obrigações, já deduzidas as glosas e notas de débitos e mediante verificação do Certificado de Regularidade Fiscal (CRF), emitido por meio do Sistema de Gestão de Materiais, Obras e Serviços – GMS, destinado a comprovar a regularidade com os Fiscos Federal, Estadual (inclusive do Estado do Paraná para licitantes sediados em outro Estado da Federação) e Municipal, com o FGTS, INSS e negativa de débitos trabalhistas (CNDT), observadas as disposições do Termo de Referência.</w:t>
      </w:r>
    </w:p>
    <w:p>
      <w:pPr>
        <w:pStyle w:val="Normal"/>
        <w:widowControl/>
        <w:spacing w:beforeAutospacing="1" w:afterAutospacing="1"/>
        <w:ind w:left="28" w:hanging="0"/>
        <w:jc w:val="both"/>
        <w:rPr>
          <w:rFonts w:eastAsia="Times New Roman"/>
          <w:sz w:val="24"/>
          <w:szCs w:val="24"/>
          <w:u w:val="single"/>
          <w:lang w:eastAsia="pt-BR"/>
        </w:rPr>
      </w:pPr>
      <w:r>
        <w:rPr>
          <w:rFonts w:eastAsia="Times New Roman"/>
          <w:b/>
          <w:bCs/>
          <w:color w:val="000000"/>
          <w:sz w:val="24"/>
          <w:szCs w:val="24"/>
          <w:lang w:eastAsia="pt-BR"/>
        </w:rPr>
        <w:t xml:space="preserve">2.2 </w:t>
      </w:r>
      <w:r>
        <w:rPr>
          <w:rFonts w:eastAsia="Times New Roman"/>
          <w:color w:val="000000"/>
          <w:sz w:val="24"/>
          <w:szCs w:val="24"/>
          <w:lang w:eastAsia="pt-BR"/>
        </w:rPr>
        <w:t>Nenhum pagamento será efetuado</w:t>
      </w:r>
      <w:r>
        <w:rPr>
          <w:rFonts w:eastAsia="Times New Roman"/>
          <w:b/>
          <w:bCs/>
          <w:color w:val="000000"/>
          <w:sz w:val="24"/>
          <w:szCs w:val="24"/>
          <w:lang w:eastAsia="pt-BR"/>
        </w:rPr>
        <w:t xml:space="preserve"> </w:t>
      </w:r>
      <w:r>
        <w:rPr>
          <w:rFonts w:eastAsia="Times New Roman"/>
          <w:color w:val="000000"/>
          <w:sz w:val="24"/>
          <w:szCs w:val="24"/>
          <w:lang w:eastAsia="pt-BR"/>
        </w:rPr>
        <w:t>sem a apresentação dos documentos exigidos, bem como enquanto não forem sanadas irregularidades eventualmente constatadas na nota fiscal, no fornecimento dos bens ou no cumprimento de obrigações contratuais.</w:t>
      </w:r>
    </w:p>
    <w:p>
      <w:pPr>
        <w:pStyle w:val="Normal"/>
        <w:widowControl/>
        <w:spacing w:beforeAutospacing="1" w:afterAutospacing="1"/>
        <w:ind w:left="28" w:hanging="0"/>
        <w:jc w:val="both"/>
        <w:rPr>
          <w:rFonts w:eastAsia="Times New Roman"/>
          <w:color w:val="000000"/>
          <w:sz w:val="24"/>
          <w:szCs w:val="24"/>
          <w:lang w:eastAsia="pt-BR"/>
        </w:rPr>
      </w:pPr>
      <w:r>
        <w:rPr>
          <w:rFonts w:eastAsia="Times New Roman"/>
          <w:b/>
          <w:bCs/>
          <w:color w:val="000000"/>
          <w:sz w:val="24"/>
          <w:szCs w:val="24"/>
          <w:lang w:eastAsia="pt-BR"/>
        </w:rPr>
        <w:t xml:space="preserve">2.3 </w:t>
      </w:r>
      <w:r>
        <w:rPr>
          <w:rFonts w:eastAsia="Times New Roman"/>
          <w:color w:val="000000"/>
          <w:sz w:val="24"/>
          <w:szCs w:val="24"/>
          <w:lang w:eastAsia="pt-BR"/>
        </w:rPr>
        <w:t>Os pagamentos ficarão condicionados à prévia informação pelo credor, dos dados da conta-corrente junto à instituição financeira contratada pelo Estado, conforme o disposto no Decreto Estadual n.º 4.505/2016, ressalvadas as exceções previstas nesse regulamento.</w:t>
      </w:r>
    </w:p>
    <w:p>
      <w:pPr>
        <w:pStyle w:val="Normal"/>
        <w:widowControl/>
        <w:spacing w:beforeAutospacing="1" w:afterAutospacing="1"/>
        <w:ind w:left="28" w:hanging="0"/>
        <w:jc w:val="both"/>
        <w:rPr>
          <w:rFonts w:eastAsia="Times New Roman"/>
          <w:sz w:val="24"/>
          <w:szCs w:val="24"/>
          <w:lang w:eastAsia="pt-BR"/>
        </w:rPr>
      </w:pPr>
      <w:r>
        <w:rPr>
          <w:rFonts w:eastAsia="Times New Roman"/>
          <w:b/>
          <w:bCs/>
          <w:sz w:val="24"/>
          <w:szCs w:val="24"/>
          <w:shd w:fill="FFFFFF" w:val="clear"/>
          <w:lang w:eastAsia="pt-BR"/>
        </w:rPr>
        <w:t xml:space="preserve">2.4 </w:t>
      </w:r>
      <w:r>
        <w:rPr>
          <w:rFonts w:eastAsia="Times New Roman"/>
          <w:color w:val="000000"/>
          <w:sz w:val="24"/>
          <w:szCs w:val="24"/>
          <w:shd w:fill="FFFFFF" w:val="clear"/>
          <w:lang w:eastAsia="pt-BR"/>
        </w:rPr>
        <w:t>Nos casos de eventuais atrasos de pagamento, desde que a Contratada não tenha concorrido para tanto, fica convencionado que a taxa de compensação financeira devida pela Contratante, entre a data do vencimento e o efetivo adimplemento da parcela, é calculada mediante a aplicação da seguinte fórmula:</w:t>
      </w:r>
    </w:p>
    <w:p>
      <w:pPr>
        <w:pStyle w:val="Normal"/>
        <w:widowControl/>
        <w:spacing w:beforeAutospacing="1" w:afterAutospacing="1"/>
        <w:ind w:left="28" w:hanging="0"/>
        <w:rPr>
          <w:rFonts w:eastAsia="Times New Roman"/>
          <w:sz w:val="24"/>
          <w:szCs w:val="24"/>
          <w:lang w:eastAsia="pt-BR"/>
        </w:rPr>
      </w:pPr>
      <w:r>
        <w:rPr>
          <w:rFonts w:eastAsia="Times New Roman"/>
          <w:color w:val="000000"/>
          <w:sz w:val="24"/>
          <w:szCs w:val="24"/>
          <w:shd w:fill="FFFFFF" w:val="clear"/>
          <w:lang w:eastAsia="pt-BR"/>
        </w:rPr>
        <w:t>EM = I x N x VP, sendo:</w:t>
      </w:r>
    </w:p>
    <w:p>
      <w:pPr>
        <w:pStyle w:val="Normal"/>
        <w:widowControl/>
        <w:spacing w:beforeAutospacing="1" w:afterAutospacing="1"/>
        <w:ind w:left="28" w:hanging="0"/>
        <w:rPr>
          <w:rFonts w:eastAsia="Times New Roman"/>
          <w:sz w:val="24"/>
          <w:szCs w:val="24"/>
          <w:lang w:eastAsia="pt-BR"/>
        </w:rPr>
      </w:pPr>
      <w:r>
        <w:rPr>
          <w:rFonts w:eastAsia="Times New Roman"/>
          <w:color w:val="000000"/>
          <w:sz w:val="24"/>
          <w:szCs w:val="24"/>
          <w:shd w:fill="FFFFFF" w:val="clear"/>
          <w:lang w:eastAsia="pt-BR"/>
        </w:rPr>
        <w:t>EM = Encargos moratórios;</w:t>
      </w:r>
    </w:p>
    <w:p>
      <w:pPr>
        <w:pStyle w:val="Normal"/>
        <w:widowControl/>
        <w:spacing w:beforeAutospacing="1" w:afterAutospacing="1"/>
        <w:ind w:left="28" w:hanging="0"/>
        <w:rPr>
          <w:rFonts w:eastAsia="Times New Roman"/>
          <w:sz w:val="24"/>
          <w:szCs w:val="24"/>
          <w:lang w:eastAsia="pt-BR"/>
        </w:rPr>
      </w:pPr>
      <w:r>
        <w:rPr>
          <w:rFonts w:eastAsia="Times New Roman"/>
          <w:color w:val="000000"/>
          <w:sz w:val="24"/>
          <w:szCs w:val="24"/>
          <w:shd w:fill="FFFFFF" w:val="clear"/>
          <w:lang w:eastAsia="pt-BR"/>
        </w:rPr>
        <w:t>N = Número de dias entre a data prevista para o pagamento e a do efetivo pagamento;</w:t>
      </w:r>
    </w:p>
    <w:p>
      <w:pPr>
        <w:pStyle w:val="Normal"/>
        <w:widowControl/>
        <w:spacing w:beforeAutospacing="1" w:afterAutospacing="1"/>
        <w:ind w:left="28" w:hanging="0"/>
        <w:rPr>
          <w:rFonts w:eastAsia="Times New Roman"/>
          <w:sz w:val="24"/>
          <w:szCs w:val="24"/>
          <w:lang w:eastAsia="pt-BR"/>
        </w:rPr>
      </w:pPr>
      <w:r>
        <w:rPr>
          <w:rFonts w:eastAsia="Times New Roman"/>
          <w:color w:val="000000"/>
          <w:sz w:val="24"/>
          <w:szCs w:val="24"/>
          <w:shd w:fill="FFFFFF" w:val="clear"/>
          <w:lang w:eastAsia="pt-BR"/>
        </w:rPr>
        <w:t>VP = Valor da parcela a ser paga.</w:t>
      </w:r>
    </w:p>
    <w:p>
      <w:pPr>
        <w:pStyle w:val="Normal"/>
        <w:widowControl/>
        <w:spacing w:beforeAutospacing="1" w:afterAutospacing="1"/>
        <w:ind w:left="28" w:hanging="0"/>
        <w:rPr>
          <w:rFonts w:eastAsia="Times New Roman"/>
          <w:sz w:val="24"/>
          <w:szCs w:val="24"/>
          <w:lang w:eastAsia="pt-BR"/>
        </w:rPr>
      </w:pPr>
      <w:r>
        <w:rPr>
          <w:rFonts w:eastAsia="Times New Roman"/>
          <w:color w:val="000000"/>
          <w:sz w:val="24"/>
          <w:szCs w:val="24"/>
          <w:shd w:fill="FFFFFF" w:val="clear"/>
          <w:lang w:eastAsia="pt-BR"/>
        </w:rPr>
        <w:t>I = Índice de compensação financeira = 0,00016438, assim apurado:</w:t>
      </w:r>
    </w:p>
    <w:tbl>
      <w:tblPr>
        <w:tblW w:w="9300" w:type="dxa"/>
        <w:jc w:val="left"/>
        <w:tblInd w:w="-75" w:type="dxa"/>
        <w:tblLayout w:type="fixed"/>
        <w:tblCellMar>
          <w:top w:w="0" w:type="dxa"/>
          <w:left w:w="0" w:type="dxa"/>
          <w:bottom w:w="0" w:type="dxa"/>
          <w:right w:w="0" w:type="dxa"/>
        </w:tblCellMar>
        <w:tblLook w:firstRow="1" w:noVBand="1" w:lastRow="0" w:firstColumn="1" w:lastColumn="0" w:noHBand="0" w:val="04a0"/>
      </w:tblPr>
      <w:tblGrid>
        <w:gridCol w:w="1527"/>
        <w:gridCol w:w="1736"/>
        <w:gridCol w:w="6037"/>
      </w:tblGrid>
      <w:tr>
        <w:trPr>
          <w:trHeight w:val="705" w:hRule="atLeast"/>
        </w:trPr>
        <w:tc>
          <w:tcPr>
            <w:tcW w:w="1527" w:type="dxa"/>
            <w:tcBorders/>
            <w:shd w:color="auto" w:fill="FFFFFF" w:val="clear"/>
            <w:vAlign w:val="center"/>
          </w:tcPr>
          <w:p>
            <w:pPr>
              <w:pStyle w:val="Normal"/>
              <w:widowControl w:val="false"/>
              <w:spacing w:beforeAutospacing="1" w:afterAutospacing="1"/>
              <w:ind w:left="28" w:hanging="0"/>
              <w:rPr>
                <w:rFonts w:eastAsia="Times New Roman"/>
                <w:sz w:val="24"/>
                <w:szCs w:val="24"/>
                <w:lang w:val="pt-BR" w:eastAsia="pt-BR"/>
              </w:rPr>
            </w:pPr>
            <w:r>
              <w:rPr>
                <w:rFonts w:eastAsia="Times New Roman"/>
                <w:color w:val="000000"/>
                <w:sz w:val="24"/>
                <w:szCs w:val="24"/>
                <w:shd w:fill="FFFFFF" w:val="clear"/>
                <w:lang w:val="pt-BR" w:eastAsia="pt-BR"/>
              </w:rPr>
              <w:t>I = (TX)</w:t>
            </w:r>
          </w:p>
          <w:p>
            <w:pPr>
              <w:pStyle w:val="Normal"/>
              <w:widowControl w:val="false"/>
              <w:spacing w:beforeAutospacing="1" w:afterAutospacing="1"/>
              <w:ind w:left="28" w:hanging="0"/>
              <w:rPr>
                <w:rFonts w:eastAsia="Times New Roman"/>
                <w:sz w:val="24"/>
                <w:szCs w:val="24"/>
                <w:lang w:val="pt-BR" w:eastAsia="pt-BR"/>
              </w:rPr>
            </w:pPr>
            <w:r>
              <w:rPr>
                <w:rFonts w:eastAsia="Times New Roman"/>
                <w:sz w:val="24"/>
                <w:szCs w:val="24"/>
                <w:lang w:val="pt-BR" w:eastAsia="pt-BR"/>
              </w:rPr>
            </w:r>
          </w:p>
          <w:p>
            <w:pPr>
              <w:pStyle w:val="Normal"/>
              <w:widowControl w:val="false"/>
              <w:spacing w:beforeAutospacing="1" w:after="0"/>
              <w:ind w:left="28" w:hanging="0"/>
              <w:rPr>
                <w:rFonts w:eastAsia="Times New Roman"/>
                <w:sz w:val="24"/>
                <w:szCs w:val="24"/>
                <w:lang w:val="pt-BR" w:eastAsia="pt-BR"/>
              </w:rPr>
            </w:pPr>
            <w:r>
              <w:rPr>
                <w:rFonts w:eastAsia="Times New Roman"/>
                <w:sz w:val="24"/>
                <w:szCs w:val="24"/>
                <w:lang w:val="pt-BR" w:eastAsia="pt-BR"/>
              </w:rPr>
            </w:r>
          </w:p>
        </w:tc>
        <w:tc>
          <w:tcPr>
            <w:tcW w:w="1736" w:type="dxa"/>
            <w:tcBorders/>
            <w:shd w:color="auto" w:fill="FFFFFF" w:val="clear"/>
            <w:vAlign w:val="center"/>
          </w:tcPr>
          <w:p>
            <w:pPr>
              <w:pStyle w:val="Normal"/>
              <w:widowControl w:val="false"/>
              <w:spacing w:beforeAutospacing="1" w:afterAutospacing="1"/>
              <w:ind w:left="28" w:hanging="0"/>
              <w:rPr>
                <w:rFonts w:eastAsia="Times New Roman"/>
                <w:sz w:val="24"/>
                <w:szCs w:val="24"/>
                <w:lang w:val="pt-BR" w:eastAsia="pt-BR"/>
              </w:rPr>
            </w:pPr>
            <w:r>
              <w:rPr>
                <w:rFonts w:eastAsia="Times New Roman"/>
                <w:sz w:val="24"/>
                <w:szCs w:val="24"/>
                <w:lang w:val="pt-BR" w:eastAsia="pt-BR"/>
              </w:rPr>
            </w:r>
          </w:p>
          <w:p>
            <w:pPr>
              <w:pStyle w:val="Normal"/>
              <w:widowControl w:val="false"/>
              <w:spacing w:beforeAutospacing="1" w:afterAutospacing="1"/>
              <w:ind w:left="28" w:hanging="0"/>
              <w:rPr>
                <w:rFonts w:eastAsia="Times New Roman"/>
                <w:sz w:val="24"/>
                <w:szCs w:val="24"/>
                <w:lang w:eastAsia="pt-BR"/>
              </w:rPr>
            </w:pPr>
            <w:r>
              <w:rPr>
                <w:rFonts w:eastAsia="Times New Roman"/>
                <w:color w:val="000000"/>
                <w:sz w:val="24"/>
                <w:szCs w:val="24"/>
                <w:shd w:fill="FFFFFF" w:val="clear"/>
                <w:lang w:val="en-US" w:eastAsia="pt-BR"/>
              </w:rPr>
              <w:t xml:space="preserve">I = </w:t>
            </w:r>
            <w:r>
              <w:rPr>
                <w:rFonts w:eastAsia="Times New Roman"/>
                <w:color w:val="000000"/>
                <w:sz w:val="24"/>
                <w:szCs w:val="24"/>
                <w:u w:val="single"/>
                <w:shd w:fill="FFFFFF" w:val="clear"/>
                <w:lang w:val="en-US" w:eastAsia="pt-BR"/>
              </w:rPr>
              <w:t>(6/100)</w:t>
            </w:r>
          </w:p>
          <w:p>
            <w:pPr>
              <w:pStyle w:val="Normal"/>
              <w:widowControl w:val="false"/>
              <w:spacing w:beforeAutospacing="1" w:afterAutospacing="1"/>
              <w:ind w:left="28" w:hanging="0"/>
              <w:rPr>
                <w:rFonts w:eastAsia="Times New Roman"/>
                <w:sz w:val="24"/>
                <w:szCs w:val="24"/>
                <w:lang w:eastAsia="pt-BR"/>
              </w:rPr>
            </w:pPr>
            <w:r>
              <w:rPr>
                <w:rFonts w:eastAsia="Times New Roman"/>
                <w:color w:val="000000"/>
                <w:sz w:val="24"/>
                <w:szCs w:val="24"/>
                <w:shd w:fill="FFFFFF" w:val="clear"/>
                <w:lang w:eastAsia="pt-BR"/>
              </w:rPr>
              <w:t>365</w:t>
            </w:r>
          </w:p>
          <w:p>
            <w:pPr>
              <w:pStyle w:val="Normal"/>
              <w:widowControl w:val="false"/>
              <w:spacing w:beforeAutospacing="1" w:after="0"/>
              <w:ind w:left="28" w:hanging="0"/>
              <w:rPr>
                <w:rFonts w:eastAsia="Times New Roman"/>
                <w:sz w:val="24"/>
                <w:szCs w:val="24"/>
                <w:lang w:eastAsia="pt-BR"/>
              </w:rPr>
            </w:pPr>
            <w:r>
              <w:rPr>
                <w:rFonts w:eastAsia="Times New Roman"/>
                <w:sz w:val="24"/>
                <w:szCs w:val="24"/>
                <w:lang w:eastAsia="pt-BR"/>
              </w:rPr>
            </w:r>
          </w:p>
        </w:tc>
        <w:tc>
          <w:tcPr>
            <w:tcW w:w="6037" w:type="dxa"/>
            <w:tcBorders/>
            <w:shd w:color="auto" w:fill="FFFFFF" w:val="clear"/>
            <w:vAlign w:val="center"/>
          </w:tcPr>
          <w:p>
            <w:pPr>
              <w:pStyle w:val="Normal"/>
              <w:widowControl w:val="false"/>
              <w:spacing w:beforeAutospacing="1" w:afterAutospacing="1"/>
              <w:ind w:left="28" w:hanging="0"/>
              <w:rPr>
                <w:rFonts w:eastAsia="Times New Roman"/>
                <w:sz w:val="24"/>
                <w:szCs w:val="24"/>
                <w:lang w:eastAsia="pt-BR"/>
              </w:rPr>
            </w:pPr>
            <w:r>
              <w:rPr>
                <w:rFonts w:eastAsia="Times New Roman"/>
                <w:color w:val="000000"/>
                <w:sz w:val="24"/>
                <w:szCs w:val="24"/>
                <w:shd w:fill="FFFFFF" w:val="clear"/>
                <w:lang w:eastAsia="pt-BR"/>
              </w:rPr>
              <w:t>I = 0,00016438</w:t>
            </w:r>
          </w:p>
          <w:p>
            <w:pPr>
              <w:pStyle w:val="Normal"/>
              <w:widowControl w:val="false"/>
              <w:spacing w:beforeAutospacing="1" w:after="0"/>
              <w:ind w:left="28" w:hanging="0"/>
              <w:rPr>
                <w:rFonts w:eastAsia="Times New Roman"/>
                <w:sz w:val="24"/>
                <w:szCs w:val="24"/>
                <w:lang w:eastAsia="pt-BR"/>
              </w:rPr>
            </w:pPr>
            <w:r>
              <w:rPr>
                <w:rFonts w:eastAsia="Times New Roman"/>
                <w:color w:val="000000"/>
                <w:sz w:val="24"/>
                <w:szCs w:val="24"/>
                <w:shd w:fill="FFFFFF" w:val="clear"/>
                <w:lang w:eastAsia="pt-BR"/>
              </w:rPr>
              <w:t>TX = Percentual da taxa anual = 6%.</w:t>
            </w:r>
          </w:p>
        </w:tc>
      </w:tr>
    </w:tbl>
    <w:p>
      <w:pPr>
        <w:pStyle w:val="Normal"/>
        <w:widowControl/>
        <w:spacing w:beforeAutospacing="1" w:afterAutospacing="1"/>
        <w:ind w:left="28" w:hanging="0"/>
        <w:jc w:val="both"/>
        <w:rPr>
          <w:rFonts w:eastAsia="Times New Roman"/>
          <w:bCs/>
          <w:color w:val="000000"/>
          <w:sz w:val="24"/>
          <w:szCs w:val="24"/>
          <w:shd w:fill="FFFFFF" w:val="clear"/>
          <w:lang w:eastAsia="pt-BR"/>
        </w:rPr>
      </w:pPr>
      <w:r>
        <w:rPr>
          <w:rFonts w:eastAsia="Times New Roman"/>
          <w:b/>
          <w:bCs/>
          <w:color w:val="000000"/>
          <w:sz w:val="24"/>
          <w:szCs w:val="24"/>
          <w:shd w:fill="FFFFFF" w:val="clear"/>
          <w:lang w:eastAsia="pt-BR"/>
        </w:rPr>
        <w:t xml:space="preserve">2.5 </w:t>
      </w:r>
      <w:r>
        <w:rPr>
          <w:rFonts w:eastAsia="Times New Roman"/>
          <w:bCs/>
          <w:color w:val="000000"/>
          <w:sz w:val="24"/>
          <w:szCs w:val="24"/>
          <w:shd w:fill="FFFFFF" w:val="clear"/>
          <w:lang w:eastAsia="pt-BR"/>
        </w:rPr>
        <w:t>Somente serão pagos os valores referentes aos bens efetivamente entregues à Secretaria de Estado da Saúde – SESA.</w:t>
      </w:r>
    </w:p>
    <w:p>
      <w:pPr>
        <w:pStyle w:val="Normal"/>
        <w:widowControl/>
        <w:spacing w:beforeAutospacing="1" w:afterAutospacing="1"/>
        <w:ind w:left="28" w:hanging="0"/>
        <w:jc w:val="both"/>
        <w:rPr>
          <w:rFonts w:eastAsia="Times New Roman"/>
          <w:b/>
          <w:bCs/>
          <w:color w:val="000000"/>
          <w:sz w:val="24"/>
          <w:szCs w:val="24"/>
          <w:shd w:fill="FFFFFF" w:val="clear"/>
          <w:lang w:eastAsia="pt-BR"/>
        </w:rPr>
      </w:pPr>
      <w:r>
        <w:rPr>
          <w:rFonts w:eastAsia="Times New Roman"/>
          <w:b/>
          <w:bCs/>
          <w:color w:val="000000"/>
          <w:sz w:val="24"/>
          <w:szCs w:val="24"/>
          <w:shd w:fill="FFFFFF" w:val="clear"/>
          <w:lang w:eastAsia="pt-BR"/>
        </w:rPr>
        <w:t xml:space="preserve">3 DAS OBRIGAÇÕES E RESPONSABILIDADES DO FORNECEDOR: </w:t>
      </w:r>
    </w:p>
    <w:p>
      <w:pPr>
        <w:pStyle w:val="Normal"/>
        <w:widowControl/>
        <w:spacing w:beforeAutospacing="1" w:afterAutospacing="1"/>
        <w:ind w:left="28" w:hanging="0"/>
        <w:jc w:val="both"/>
        <w:rPr>
          <w:rFonts w:eastAsia="Times New Roman"/>
          <w:sz w:val="24"/>
          <w:szCs w:val="24"/>
          <w:lang w:eastAsia="pt-BR"/>
        </w:rPr>
      </w:pPr>
      <w:r>
        <w:rPr>
          <w:rFonts w:eastAsia="Times New Roman"/>
          <w:b/>
          <w:color w:val="000000"/>
          <w:sz w:val="24"/>
          <w:szCs w:val="24"/>
          <w:lang w:eastAsia="pt-BR"/>
        </w:rPr>
        <w:t>3.1</w:t>
      </w:r>
      <w:r>
        <w:rPr>
          <w:rFonts w:eastAsia="Times New Roman"/>
          <w:color w:val="000000"/>
          <w:sz w:val="24"/>
          <w:szCs w:val="24"/>
          <w:lang w:eastAsia="pt-BR"/>
        </w:rPr>
        <w:t xml:space="preserve"> efetuar a entrega do objeto em perfeitas condições, conforme especificações, prazo e local constantes no Termo de Referência, acompanhado da respectiva nota fiscal, na qual constarão as indicações referentes a: marca, fabricante, modelo, procedência e prazo de garantia ou validade, e acompanhado do manual do usuário, com uma versão em português e da relação da rede de assistência técnica autorizada, quando aplicável;</w:t>
      </w:r>
    </w:p>
    <w:p>
      <w:pPr>
        <w:pStyle w:val="Normal"/>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 xml:space="preserve">3.2 </w:t>
      </w:r>
      <w:r>
        <w:rPr>
          <w:rFonts w:eastAsia="Times New Roman"/>
          <w:color w:val="000000"/>
          <w:sz w:val="24"/>
          <w:szCs w:val="24"/>
          <w:lang w:eastAsia="pt-BR"/>
        </w:rPr>
        <w:t>responsabilizar-se pelos vícios e danos decorrentes do objeto, de acordo com os artigos 12, 13 e 17 a 27, do Código de Defesa do Consumidor (Lei Federal nº 8.078/1990);</w:t>
      </w:r>
    </w:p>
    <w:p>
      <w:pPr>
        <w:pStyle w:val="Normal"/>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3.3</w:t>
      </w:r>
      <w:r>
        <w:rPr>
          <w:rFonts w:eastAsia="Times New Roman"/>
          <w:color w:val="000000"/>
          <w:sz w:val="24"/>
          <w:szCs w:val="24"/>
          <w:lang w:eastAsia="pt-BR"/>
        </w:rPr>
        <w:t xml:space="preserve"> substituir, reparar ou corrigir, às suas expensas, no prazo fixado no </w:t>
      </w:r>
      <w:r>
        <w:rPr>
          <w:rFonts w:eastAsia="Times New Roman"/>
          <w:color w:val="000000"/>
          <w:sz w:val="24"/>
          <w:szCs w:val="24"/>
          <w:shd w:fill="FFFFFF" w:val="clear"/>
          <w:lang w:eastAsia="pt-BR"/>
        </w:rPr>
        <w:t>Termo de Referência</w:t>
      </w:r>
      <w:r>
        <w:rPr>
          <w:rFonts w:eastAsia="Times New Roman"/>
          <w:color w:val="000000"/>
          <w:sz w:val="24"/>
          <w:szCs w:val="24"/>
          <w:lang w:eastAsia="pt-BR"/>
        </w:rPr>
        <w:t>, o objeto com avarias ou defeitos;</w:t>
      </w:r>
    </w:p>
    <w:p>
      <w:pPr>
        <w:pStyle w:val="Normal"/>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3.4</w:t>
      </w:r>
      <w:r>
        <w:rPr>
          <w:rFonts w:eastAsia="Times New Roman"/>
          <w:color w:val="000000"/>
          <w:sz w:val="24"/>
          <w:szCs w:val="24"/>
          <w:lang w:eastAsia="pt-BR"/>
        </w:rPr>
        <w:t xml:space="preserve"> comunicar à Administração, no prazo máximo de 24 (vinte e quatro) horas que antecede a data da entrega, os motivos que impossibilitem o cumprimento do prazo previsto, com a devida comprovação;</w:t>
      </w:r>
    </w:p>
    <w:p>
      <w:pPr>
        <w:pStyle w:val="Normal"/>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 xml:space="preserve">3.5 </w:t>
      </w:r>
      <w:r>
        <w:rPr>
          <w:rFonts w:eastAsia="Times New Roman"/>
          <w:color w:val="000000"/>
          <w:sz w:val="24"/>
          <w:szCs w:val="24"/>
          <w:lang w:eastAsia="pt-BR"/>
        </w:rPr>
        <w:t>indicar preposto para representá-lo durante a execução do contrato e manter comunicação com representante da Administração para a gestão do contrato;</w:t>
      </w:r>
    </w:p>
    <w:p>
      <w:pPr>
        <w:pStyle w:val="Normal"/>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3.6</w:t>
      </w:r>
      <w:r>
        <w:rPr>
          <w:rFonts w:eastAsia="Times New Roman"/>
          <w:color w:val="000000"/>
          <w:sz w:val="24"/>
          <w:szCs w:val="24"/>
          <w:lang w:eastAsia="pt-BR"/>
        </w:rPr>
        <w:t xml:space="preserve"> manter durante toda a vigência do contrato, em compatibilidade com as obrigações assumidas, todas as condições de habilitação e qualificação exigidas no procedimento de contratação;</w:t>
      </w:r>
    </w:p>
    <w:p>
      <w:pPr>
        <w:pStyle w:val="Normal"/>
        <w:widowControl/>
        <w:spacing w:beforeAutospacing="1" w:afterAutospacing="1"/>
        <w:jc w:val="both"/>
        <w:rPr>
          <w:rFonts w:eastAsia="Times New Roman"/>
          <w:color w:val="000000"/>
          <w:sz w:val="24"/>
          <w:szCs w:val="24"/>
          <w:lang w:eastAsia="pt-BR"/>
        </w:rPr>
      </w:pPr>
      <w:r>
        <w:rPr>
          <w:rFonts w:eastAsia="Times New Roman"/>
          <w:b/>
          <w:bCs/>
          <w:color w:val="000000"/>
          <w:sz w:val="24"/>
          <w:szCs w:val="24"/>
          <w:lang w:eastAsia="pt-BR"/>
        </w:rPr>
        <w:t>3.7</w:t>
      </w:r>
      <w:r>
        <w:rPr>
          <w:rFonts w:eastAsia="Times New Roman"/>
          <w:color w:val="000000"/>
          <w:sz w:val="24"/>
          <w:szCs w:val="24"/>
          <w:lang w:eastAsia="pt-BR"/>
        </w:rPr>
        <w:t xml:space="preserve"> manter atualizado os seus dados no Portal Nacional de Contratações Públicas (PNCP) e no Cadastro Unificado de Fornecedores do Estado do Paraná, conforme legislação vigente;</w:t>
      </w:r>
    </w:p>
    <w:p>
      <w:pPr>
        <w:pStyle w:val="Normal"/>
        <w:widowControl/>
        <w:spacing w:beforeAutospacing="1" w:afterAutospacing="1"/>
        <w:jc w:val="both"/>
        <w:rPr>
          <w:rFonts w:eastAsia="Times New Roman"/>
          <w:color w:val="000000"/>
          <w:sz w:val="24"/>
          <w:szCs w:val="24"/>
          <w:lang w:eastAsia="pt-BR"/>
        </w:rPr>
      </w:pPr>
      <w:r>
        <w:rPr>
          <w:rFonts w:eastAsia="Times New Roman"/>
          <w:b/>
          <w:color w:val="000000"/>
          <w:sz w:val="24"/>
          <w:szCs w:val="24"/>
          <w:lang w:eastAsia="pt-BR"/>
        </w:rPr>
        <w:t>3.8</w:t>
      </w:r>
      <w:r>
        <w:rPr>
          <w:rFonts w:eastAsia="Times New Roman"/>
          <w:color w:val="000000"/>
          <w:sz w:val="24"/>
          <w:szCs w:val="24"/>
          <w:lang w:eastAsia="pt-BR"/>
        </w:rPr>
        <w:t xml:space="preserve"> guardar sigilo sobre as informações obtidas em decorrência do cumprimento do contrato;</w:t>
      </w:r>
    </w:p>
    <w:p>
      <w:pPr>
        <w:pStyle w:val="Normal"/>
        <w:widowControl/>
        <w:spacing w:beforeAutospacing="1" w:afterAutospacing="1"/>
        <w:jc w:val="both"/>
        <w:rPr>
          <w:rFonts w:eastAsia="Times New Roman"/>
          <w:color w:val="000000"/>
          <w:sz w:val="24"/>
          <w:szCs w:val="24"/>
          <w:lang w:eastAsia="pt-BR"/>
        </w:rPr>
      </w:pPr>
      <w:r>
        <w:rPr>
          <w:rFonts w:eastAsia="Times New Roman"/>
          <w:b/>
          <w:color w:val="000000"/>
          <w:sz w:val="24"/>
          <w:szCs w:val="24"/>
          <w:lang w:eastAsia="pt-BR"/>
        </w:rPr>
        <w:t>3.9</w:t>
      </w:r>
      <w:r>
        <w:rPr>
          <w:rFonts w:eastAsia="Times New Roman"/>
          <w:color w:val="000000"/>
          <w:sz w:val="24"/>
          <w:szCs w:val="24"/>
          <w:lang w:eastAsia="pt-BR"/>
        </w:rPr>
        <w:t xml:space="preserve"> arcar com o ônus decorrente de eventual equívoco no dimensionamento dos quantitativos de sua proposta, devendo complementá-los, caso o previsto inicialmente em sua proposta não seja satisfatório para o atendimento ao objeto da contratação, exceto quando houver:</w:t>
      </w:r>
    </w:p>
    <w:p>
      <w:pPr>
        <w:pStyle w:val="Normal"/>
        <w:widowControl/>
        <w:spacing w:beforeAutospacing="1" w:afterAutospacing="1"/>
        <w:jc w:val="both"/>
        <w:rPr>
          <w:rFonts w:eastAsia="Times New Roman"/>
          <w:color w:val="000000"/>
          <w:sz w:val="24"/>
          <w:szCs w:val="24"/>
          <w:lang w:eastAsia="pt-BR"/>
        </w:rPr>
      </w:pPr>
      <w:r>
        <w:rPr>
          <w:rFonts w:eastAsia="Times New Roman"/>
          <w:b/>
          <w:color w:val="000000"/>
          <w:sz w:val="24"/>
          <w:szCs w:val="24"/>
          <w:lang w:eastAsia="pt-BR"/>
        </w:rPr>
        <w:t>3.9.1</w:t>
      </w:r>
      <w:r>
        <w:rPr>
          <w:rFonts w:eastAsia="Times New Roman"/>
          <w:color w:val="000000"/>
          <w:sz w:val="24"/>
          <w:szCs w:val="24"/>
          <w:lang w:eastAsia="pt-BR"/>
        </w:rPr>
        <w:t xml:space="preserve"> alteração qualitativa do projeto ou de suas especificações pela Administração;</w:t>
      </w:r>
    </w:p>
    <w:p>
      <w:pPr>
        <w:pStyle w:val="Normal"/>
        <w:widowControl/>
        <w:spacing w:beforeAutospacing="1" w:afterAutospacing="1"/>
        <w:jc w:val="both"/>
        <w:rPr>
          <w:rFonts w:eastAsia="Times New Roman"/>
          <w:color w:val="000000"/>
          <w:sz w:val="24"/>
          <w:szCs w:val="24"/>
          <w:lang w:eastAsia="pt-BR"/>
        </w:rPr>
      </w:pPr>
      <w:r>
        <w:rPr>
          <w:rFonts w:eastAsia="Times New Roman"/>
          <w:b/>
          <w:color w:val="000000"/>
          <w:sz w:val="24"/>
          <w:szCs w:val="24"/>
          <w:lang w:eastAsia="pt-BR"/>
        </w:rPr>
        <w:t>3.9.2</w:t>
      </w:r>
      <w:r>
        <w:rPr>
          <w:rFonts w:eastAsia="Times New Roman"/>
          <w:color w:val="000000"/>
          <w:sz w:val="24"/>
          <w:szCs w:val="24"/>
          <w:lang w:eastAsia="pt-BR"/>
        </w:rPr>
        <w:t xml:space="preserve"> retardamento na expedição da ordem de execução do serviço ou autorização de fornecimento, interrupção da execução do contrato ou diminuição do ritmo do trabalho, por ordem e no interesse da Administração;</w:t>
      </w:r>
    </w:p>
    <w:p>
      <w:pPr>
        <w:pStyle w:val="Normal"/>
        <w:widowControl/>
        <w:spacing w:beforeAutospacing="1" w:afterAutospacing="1"/>
        <w:jc w:val="both"/>
        <w:rPr>
          <w:rFonts w:eastAsia="Times New Roman"/>
          <w:color w:val="000000"/>
          <w:sz w:val="24"/>
          <w:szCs w:val="24"/>
          <w:lang w:eastAsia="pt-BR"/>
        </w:rPr>
      </w:pPr>
      <w:r>
        <w:rPr>
          <w:rFonts w:eastAsia="Times New Roman"/>
          <w:b/>
          <w:color w:val="000000"/>
          <w:sz w:val="24"/>
          <w:szCs w:val="24"/>
          <w:lang w:eastAsia="pt-BR"/>
        </w:rPr>
        <w:t>3.9.3</w:t>
      </w:r>
      <w:r>
        <w:rPr>
          <w:rFonts w:eastAsia="Times New Roman"/>
          <w:color w:val="000000"/>
          <w:sz w:val="24"/>
          <w:szCs w:val="24"/>
          <w:lang w:eastAsia="pt-BR"/>
        </w:rPr>
        <w:t xml:space="preserve"> aumento das quantidades inicialmente previstas no contrato, nos limites permitidos pela Lei Federal n.º 14.133, de 2021.</w:t>
      </w:r>
    </w:p>
    <w:tbl>
      <w:tblPr>
        <w:tblW w:w="9699"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9699"/>
      </w:tblGrid>
      <w:tr>
        <w:trPr/>
        <w:tc>
          <w:tcPr>
            <w:tcW w:w="9699"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hd w:val="clear" w:color="auto" w:fill="FFFF00"/>
              <w:rPr>
                <w:sz w:val="20"/>
                <w:szCs w:val="20"/>
              </w:rPr>
            </w:pPr>
            <w:r>
              <w:rPr>
                <w:rStyle w:val="Fontepargpadro3"/>
                <w:b/>
                <w:bCs/>
                <w:color w:val="000000"/>
                <w:sz w:val="20"/>
                <w:szCs w:val="20"/>
              </w:rPr>
              <w:t>Nota explicativa XX:</w:t>
            </w:r>
          </w:p>
          <w:p>
            <w:pPr>
              <w:pStyle w:val="Normal"/>
              <w:widowControl w:val="false"/>
              <w:shd w:val="clear" w:color="auto" w:fill="FFFF00"/>
              <w:spacing w:before="0" w:after="57"/>
              <w:ind w:left="-9" w:firstLine="9"/>
              <w:jc w:val="both"/>
              <w:rPr>
                <w:sz w:val="20"/>
                <w:szCs w:val="20"/>
              </w:rPr>
            </w:pPr>
            <w:r>
              <w:rPr>
                <w:rStyle w:val="Fontepargpadro3"/>
                <w:rFonts w:eastAsia="ArialMT"/>
                <w:b/>
                <w:bCs/>
                <w:color w:val="000000"/>
                <w:sz w:val="20"/>
                <w:szCs w:val="20"/>
              </w:rPr>
              <w:t>(Obs. As notas explicativas são meramente orientativas. Portanto, devem ser excluídas do edital a ser publicado)</w:t>
            </w:r>
          </w:p>
          <w:p>
            <w:pPr>
              <w:pStyle w:val="Normal"/>
              <w:widowControl w:val="false"/>
              <w:shd w:val="clear" w:color="auto" w:fill="FFFF00"/>
              <w:spacing w:before="0" w:after="57"/>
              <w:ind w:left="-9" w:firstLine="9"/>
              <w:jc w:val="both"/>
              <w:rPr>
                <w:sz w:val="20"/>
                <w:szCs w:val="20"/>
              </w:rPr>
            </w:pPr>
            <w:r>
              <w:rPr>
                <w:sz w:val="20"/>
                <w:szCs w:val="20"/>
              </w:rPr>
            </w:r>
          </w:p>
          <w:p>
            <w:pPr>
              <w:pStyle w:val="Normal"/>
              <w:widowControl w:val="false"/>
              <w:shd w:val="clear" w:color="auto" w:fill="FFFF00"/>
              <w:jc w:val="both"/>
              <w:rPr>
                <w:sz w:val="20"/>
                <w:szCs w:val="20"/>
              </w:rPr>
            </w:pPr>
            <w:r>
              <w:rPr>
                <w:color w:val="000000"/>
                <w:sz w:val="20"/>
                <w:szCs w:val="20"/>
              </w:rPr>
              <w:t>No caso de o Estudo Técnico Preliminar apontar a necessidade de aquisição de bens sustentáveis, nos termos do previsto no art. 361 do Decreto n.º 10.086, de 2022, deverá ser incluído item que trate da adoção de práticas de sustentabilidade,</w:t>
            </w:r>
            <w:r>
              <w:rPr>
                <w:b/>
                <w:color w:val="000000"/>
                <w:sz w:val="20"/>
                <w:szCs w:val="20"/>
              </w:rPr>
              <w:t xml:space="preserve"> as quais devem ser específicas em relação ao objeto da contratação. Nesse caso, a Secretaria de Estado da Saúde poderá utilizar como referências as que constam no art. 362 do referido regulamento, sem prejuízo da adoção de outras porventura cabíveis.</w:t>
            </w:r>
          </w:p>
          <w:p>
            <w:pPr>
              <w:pStyle w:val="Normal"/>
              <w:widowControl w:val="false"/>
              <w:shd w:val="clear" w:color="auto" w:fill="FFFF00"/>
              <w:jc w:val="both"/>
              <w:rPr>
                <w:sz w:val="20"/>
                <w:szCs w:val="20"/>
              </w:rPr>
            </w:pPr>
            <w:r>
              <w:rPr>
                <w:sz w:val="20"/>
                <w:szCs w:val="20"/>
              </w:rPr>
            </w:r>
          </w:p>
          <w:p>
            <w:pPr>
              <w:pStyle w:val="Normal"/>
              <w:widowControl w:val="false"/>
              <w:shd w:val="clear" w:color="auto" w:fill="FFFF00"/>
              <w:jc w:val="both"/>
              <w:rPr>
                <w:sz w:val="20"/>
                <w:szCs w:val="20"/>
              </w:rPr>
            </w:pPr>
            <w:r>
              <w:rPr>
                <w:sz w:val="20"/>
                <w:szCs w:val="20"/>
              </w:rPr>
              <w:t>Se os documentos de planejamento a que se refere o art. 72, I da lei nº 14.133/2021 apontarem a necessidade de o fornecedor se responsabilizar pela logística reversa, é recomendável incluir as seguintes obrigações:</w:t>
            </w:r>
          </w:p>
          <w:p>
            <w:pPr>
              <w:pStyle w:val="Normal"/>
              <w:widowControl w:val="false"/>
              <w:shd w:val="clear" w:color="auto" w:fill="FFFF00"/>
              <w:jc w:val="both"/>
              <w:rPr>
                <w:sz w:val="20"/>
                <w:szCs w:val="20"/>
              </w:rPr>
            </w:pPr>
            <w:r>
              <w:rPr>
                <w:rStyle w:val="Fontepargpadro3"/>
                <w:rFonts w:eastAsia="Calibri"/>
                <w:color w:val="000000"/>
                <w:sz w:val="20"/>
                <w:szCs w:val="20"/>
              </w:rPr>
              <w:t xml:space="preserve"> </w:t>
            </w:r>
            <w:r>
              <w:rPr>
                <w:rStyle w:val="Fontepargpadro3"/>
                <w:rFonts w:eastAsia="Calibri"/>
                <w:color w:val="000000"/>
                <w:sz w:val="20"/>
                <w:szCs w:val="20"/>
              </w:rPr>
              <w:t>Adotar práticas de logística reversa dos produtos, embalagens e serviços pós-consumo no limite da proporção que fornecerem ao Poder Público, assumindo a responsabilidade pela destinação final ambientalmente adequada;</w:t>
            </w:r>
          </w:p>
          <w:p>
            <w:pPr>
              <w:pStyle w:val="Normal"/>
              <w:widowControl w:val="false"/>
              <w:shd w:val="clear" w:color="auto" w:fill="FFFF00"/>
              <w:jc w:val="both"/>
              <w:rPr/>
            </w:pPr>
            <w:r>
              <w:rPr>
                <w:rStyle w:val="Fontepargpadro3"/>
                <w:rFonts w:eastAsia="Calibri"/>
                <w:color w:val="000000"/>
                <w:sz w:val="20"/>
                <w:szCs w:val="20"/>
              </w:rPr>
              <w:t xml:space="preserve"> </w:t>
            </w:r>
            <w:r>
              <w:rPr>
                <w:rStyle w:val="Fontepargpadro3"/>
                <w:rFonts w:eastAsia="Calibri"/>
                <w:color w:val="000000"/>
                <w:sz w:val="20"/>
                <w:szCs w:val="20"/>
              </w:rPr>
              <w:t>Apresentar declaração de atendimento e responsabilização com a logística reversa dos produtos, embalagens e serviços pós-consumo no limite da proporção que fornecerem ao Poder Público, assumindo a responsabilidade pela destinação final ambientalmente adequada.</w:t>
            </w:r>
          </w:p>
        </w:tc>
      </w:tr>
    </w:tbl>
    <w:p>
      <w:pPr>
        <w:pStyle w:val="Normal"/>
        <w:spacing w:before="0" w:after="57"/>
        <w:rPr>
          <w:b/>
          <w:bCs/>
          <w:color w:val="000000"/>
          <w:sz w:val="20"/>
          <w:szCs w:val="20"/>
        </w:rPr>
      </w:pPr>
      <w:r>
        <w:rPr>
          <w:b/>
          <w:bCs/>
          <w:color w:val="000000"/>
          <w:sz w:val="20"/>
          <w:szCs w:val="20"/>
        </w:rPr>
      </w:r>
    </w:p>
    <w:p>
      <w:pPr>
        <w:pStyle w:val="Normal"/>
        <w:spacing w:before="0" w:after="57"/>
        <w:rPr>
          <w:b/>
          <w:bCs/>
          <w:color w:val="000000"/>
          <w:sz w:val="20"/>
          <w:szCs w:val="20"/>
        </w:rPr>
      </w:pPr>
      <w:r>
        <w:rPr>
          <w:b/>
          <w:bCs/>
          <w:color w:val="000000"/>
          <w:sz w:val="20"/>
          <w:szCs w:val="20"/>
        </w:rPr>
      </w:r>
    </w:p>
    <w:tbl>
      <w:tblPr>
        <w:tblW w:w="9699"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9699"/>
      </w:tblGrid>
      <w:tr>
        <w:trPr/>
        <w:tc>
          <w:tcPr>
            <w:tcW w:w="9699"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hd w:val="clear" w:color="auto" w:fill="FFFF00"/>
              <w:rPr/>
            </w:pPr>
            <w:r>
              <w:rPr>
                <w:rStyle w:val="Fontepargpadro3"/>
                <w:b/>
                <w:bCs/>
                <w:sz w:val="20"/>
                <w:szCs w:val="20"/>
              </w:rPr>
              <w:t>Nota explicativa XX:</w:t>
            </w:r>
          </w:p>
          <w:p>
            <w:pPr>
              <w:pStyle w:val="Normal"/>
              <w:widowControl w:val="false"/>
              <w:shd w:val="clear" w:color="auto" w:fill="FFFF00"/>
              <w:spacing w:before="0" w:after="57"/>
              <w:ind w:left="-9" w:firstLine="9"/>
              <w:jc w:val="both"/>
              <w:rPr/>
            </w:pPr>
            <w:r>
              <w:rPr>
                <w:rStyle w:val="Fontepargpadro3"/>
                <w:rFonts w:eastAsia="ArialMT"/>
                <w:b/>
                <w:bCs/>
                <w:color w:val="000000"/>
                <w:sz w:val="20"/>
                <w:szCs w:val="20"/>
                <w:highlight w:val="yellow"/>
              </w:rPr>
              <w:t>(Obs. As notas explicativas são meramente orientativas. Portanto, devem ser excluídas do edital a ser publicado)</w:t>
            </w:r>
          </w:p>
          <w:p>
            <w:pPr>
              <w:pStyle w:val="Normal"/>
              <w:widowControl w:val="false"/>
              <w:shd w:val="clear" w:color="auto" w:fill="FFFF00"/>
              <w:spacing w:before="0" w:after="57"/>
              <w:ind w:left="-9" w:firstLine="9"/>
              <w:jc w:val="both"/>
              <w:rPr/>
            </w:pPr>
            <w:r>
              <w:rPr/>
            </w:r>
          </w:p>
          <w:p>
            <w:pPr>
              <w:pStyle w:val="Normal"/>
              <w:widowControl w:val="false"/>
              <w:shd w:val="clear" w:color="auto" w:fill="FFFF00"/>
              <w:jc w:val="both"/>
              <w:rPr/>
            </w:pPr>
            <w:r>
              <w:rPr>
                <w:sz w:val="20"/>
                <w:szCs w:val="20"/>
              </w:rPr>
              <w:t>O setor competente poderá incluir no referido item novas obrigações, de acordo com as especificações do objeto a ser contratado.</w:t>
            </w:r>
          </w:p>
        </w:tc>
      </w:tr>
    </w:tbl>
    <w:p>
      <w:pPr>
        <w:pStyle w:val="Normal"/>
        <w:widowControl/>
        <w:spacing w:beforeAutospacing="1" w:afterAutospacing="1"/>
        <w:jc w:val="both"/>
        <w:rPr>
          <w:rFonts w:eastAsia="Times New Roman"/>
          <w:sz w:val="24"/>
          <w:szCs w:val="24"/>
          <w:lang w:eastAsia="pt-BR"/>
        </w:rPr>
      </w:pPr>
      <w:r>
        <w:rPr>
          <w:rFonts w:eastAsia="Times New Roman"/>
          <w:sz w:val="24"/>
          <w:szCs w:val="24"/>
          <w:lang w:eastAsia="pt-BR"/>
        </w:rPr>
      </w:r>
    </w:p>
    <w:p>
      <w:pPr>
        <w:pStyle w:val="Normal"/>
        <w:spacing w:before="0" w:after="57"/>
        <w:jc w:val="both"/>
        <w:rPr>
          <w:sz w:val="24"/>
          <w:szCs w:val="24"/>
        </w:rPr>
      </w:pPr>
      <w:r>
        <w:rPr>
          <w:rStyle w:val="Fontepargpadro3"/>
          <w:b/>
          <w:bCs/>
          <w:color w:val="000000"/>
          <w:sz w:val="24"/>
          <w:szCs w:val="24"/>
        </w:rPr>
        <w:t xml:space="preserve">4 </w:t>
      </w:r>
      <w:r>
        <w:rPr>
          <w:rStyle w:val="Fontepargpadro3"/>
          <w:rFonts w:eastAsia="MS Mincho"/>
          <w:b/>
          <w:bCs/>
          <w:color w:val="000000"/>
          <w:sz w:val="24"/>
          <w:szCs w:val="24"/>
        </w:rPr>
        <w:t>SANÇÕES ADMINISTRATIVAS</w:t>
      </w:r>
    </w:p>
    <w:p>
      <w:pPr>
        <w:pStyle w:val="Normal"/>
        <w:spacing w:before="57" w:after="0"/>
        <w:ind w:left="9" w:right="-55" w:hanging="0"/>
        <w:jc w:val="both"/>
        <w:rPr>
          <w:sz w:val="24"/>
          <w:szCs w:val="24"/>
        </w:rPr>
      </w:pPr>
      <w:r>
        <w:rPr>
          <w:rStyle w:val="Fontepargpadro3"/>
          <w:b/>
          <w:bCs/>
          <w:color w:val="000000"/>
          <w:sz w:val="24"/>
          <w:szCs w:val="24"/>
        </w:rPr>
        <w:t xml:space="preserve">4.1. </w:t>
      </w:r>
      <w:r>
        <w:rPr>
          <w:rStyle w:val="Fontepargpadro3"/>
          <w:color w:val="000000"/>
          <w:sz w:val="24"/>
          <w:szCs w:val="24"/>
        </w:rPr>
        <w:t>O contratado que incorra em infrações sujeita-se às sanções administrativas previstas no art. 156 da Lei Federal n.º 14.133, de 2021 e nos arts. 195, 196, 197 e 199, todos do Decreto n.º 10.086, de 17 de janeiro 2022, sem prejuízo de eventuais implicações penais nos termos do que prevê o Capítulo II-B do Título XI do Código Penal.</w:t>
      </w:r>
    </w:p>
    <w:p>
      <w:pPr>
        <w:pStyle w:val="Citao2"/>
        <w:spacing w:before="57" w:after="57"/>
        <w:jc w:val="both"/>
        <w:rPr>
          <w:sz w:val="24"/>
          <w:szCs w:val="24"/>
        </w:rPr>
      </w:pPr>
      <w:r>
        <w:rPr>
          <w:rStyle w:val="Fontepargpadro3"/>
          <w:rFonts w:ascii="Arial" w:hAnsi="Arial"/>
          <w:b/>
          <w:bCs/>
          <w:color w:val="000000"/>
          <w:sz w:val="24"/>
          <w:szCs w:val="24"/>
        </w:rPr>
        <w:t>4.2.</w:t>
      </w:r>
      <w:r>
        <w:rPr>
          <w:rStyle w:val="Fontepargpadro3"/>
          <w:rFonts w:ascii="Arial" w:hAnsi="Arial"/>
          <w:color w:val="000000"/>
          <w:sz w:val="24"/>
          <w:szCs w:val="24"/>
        </w:rPr>
        <w:t xml:space="preserve"> A multa não poderá ser inferior a 0,5% (cinco décimos por cento), nem superior a 30% (trinta por cento) sobre o valor do lote/item objeto da contratação, observando ainda as seguintes variações:</w:t>
      </w:r>
    </w:p>
    <w:p>
      <w:pPr>
        <w:pStyle w:val="Citao2"/>
        <w:spacing w:before="57" w:after="57"/>
        <w:jc w:val="both"/>
        <w:rPr>
          <w:sz w:val="24"/>
          <w:szCs w:val="24"/>
        </w:rPr>
      </w:pPr>
      <w:r>
        <w:rPr>
          <w:rStyle w:val="Fontepargpadro3"/>
          <w:rFonts w:ascii="Arial" w:hAnsi="Arial"/>
          <w:sz w:val="24"/>
          <w:szCs w:val="24"/>
        </w:rPr>
        <w:t>a) multa de 0,5% a 5%, nos casos das infrações previstas no art. 195, do Decreto Estadual 10.086/2022;</w:t>
      </w:r>
    </w:p>
    <w:p>
      <w:pPr>
        <w:pStyle w:val="Citao2"/>
        <w:spacing w:before="57" w:after="57"/>
        <w:jc w:val="both"/>
        <w:rPr>
          <w:sz w:val="24"/>
          <w:szCs w:val="24"/>
        </w:rPr>
      </w:pPr>
      <w:r>
        <w:rPr>
          <w:rStyle w:val="Fontepargpadro3"/>
          <w:rFonts w:ascii="Arial" w:hAnsi="Arial"/>
          <w:sz w:val="24"/>
          <w:szCs w:val="24"/>
        </w:rPr>
        <w:t>b) multa de 5% a 30%, nos casos das infrações previstas no art. 196, do Decreto Estadual 10.086/2022;</w:t>
      </w:r>
    </w:p>
    <w:p>
      <w:pPr>
        <w:pStyle w:val="Citao2"/>
        <w:spacing w:before="57" w:after="57"/>
        <w:jc w:val="both"/>
        <w:rPr>
          <w:sz w:val="24"/>
          <w:szCs w:val="24"/>
        </w:rPr>
      </w:pPr>
      <w:r>
        <w:rPr>
          <w:rStyle w:val="Fontepargpadro3"/>
          <w:rFonts w:ascii="Arial" w:hAnsi="Arial"/>
          <w:sz w:val="24"/>
          <w:szCs w:val="24"/>
        </w:rPr>
        <w:t>c) multa de 15% a 30%, nos casos das infrações previstas no art. 197, do Decreto Estadual 10.086/2022;</w:t>
      </w:r>
    </w:p>
    <w:p>
      <w:pPr>
        <w:pStyle w:val="Citao2"/>
        <w:spacing w:before="57" w:after="57"/>
        <w:jc w:val="both"/>
        <w:rPr>
          <w:sz w:val="24"/>
          <w:szCs w:val="24"/>
        </w:rPr>
      </w:pPr>
      <w:r>
        <w:rPr>
          <w:rStyle w:val="Fontepargpadro3"/>
          <w:rFonts w:ascii="Arial" w:hAnsi="Arial"/>
          <w:b/>
          <w:bCs/>
          <w:color w:val="000000"/>
          <w:sz w:val="24"/>
          <w:szCs w:val="24"/>
        </w:rPr>
        <w:t>4.3.</w:t>
      </w:r>
      <w:r>
        <w:rPr>
          <w:rStyle w:val="Fontepargpadro3"/>
          <w:rFonts w:ascii="Arial" w:hAnsi="Arial"/>
          <w:color w:val="000000"/>
          <w:sz w:val="24"/>
          <w:szCs w:val="24"/>
        </w:rPr>
        <w:t xml:space="preserve"> O cálculo da multa será justificado e levará em conta o disposto nos arts. 210 a 212, do Decreto Estadual 10.086/2022.</w:t>
      </w:r>
    </w:p>
    <w:p>
      <w:pPr>
        <w:pStyle w:val="Citao2"/>
        <w:spacing w:before="57" w:after="57"/>
        <w:jc w:val="both"/>
        <w:rPr>
          <w:sz w:val="24"/>
          <w:szCs w:val="24"/>
        </w:rPr>
      </w:pPr>
      <w:r>
        <w:rPr>
          <w:rStyle w:val="Fontepargpadro3"/>
          <w:rFonts w:eastAsia="Arial" w:ascii="Arial" w:hAnsi="Arial"/>
          <w:b/>
          <w:bCs/>
          <w:color w:val="000000"/>
          <w:sz w:val="24"/>
          <w:szCs w:val="24"/>
        </w:rPr>
        <w:t>4.4.</w:t>
      </w:r>
      <w:r>
        <w:rPr>
          <w:rStyle w:val="Fontepargpadro3"/>
          <w:rFonts w:eastAsia="Arial" w:ascii="Arial" w:hAnsi="Arial"/>
          <w:color w:val="000000"/>
          <w:sz w:val="24"/>
          <w:szCs w:val="24"/>
        </w:rPr>
        <w:t xml:space="preserve"> 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pPr>
        <w:pStyle w:val="Normal"/>
        <w:spacing w:before="57" w:after="0"/>
        <w:ind w:left="9" w:right="-55" w:hanging="0"/>
        <w:jc w:val="both"/>
        <w:rPr>
          <w:sz w:val="24"/>
          <w:szCs w:val="24"/>
        </w:rPr>
      </w:pPr>
      <w:r>
        <w:rPr>
          <w:rStyle w:val="Fontepargpadro3"/>
          <w:b/>
          <w:bCs/>
          <w:color w:val="000000"/>
          <w:sz w:val="24"/>
          <w:szCs w:val="24"/>
        </w:rPr>
        <w:t xml:space="preserve">4.5 </w:t>
      </w:r>
      <w:r>
        <w:rPr>
          <w:rStyle w:val="Fontepargpadro3"/>
          <w:color w:val="000000"/>
          <w:sz w:val="24"/>
          <w:szCs w:val="24"/>
        </w:rPr>
        <w:t>O procedimento para aplicação das sanções seguirá o disposto no Capítulo XVI, do Título I, do Decreto n.º 10.086, de 2022. e na Lei n.º 20.656, de 2021.</w:t>
      </w:r>
    </w:p>
    <w:p>
      <w:pPr>
        <w:pStyle w:val="Normal"/>
        <w:tabs>
          <w:tab w:val="clear" w:pos="708"/>
          <w:tab w:val="left" w:pos="567" w:leader="none"/>
        </w:tabs>
        <w:spacing w:before="57" w:after="0"/>
        <w:ind w:left="9" w:right="-55" w:hanging="0"/>
        <w:jc w:val="both"/>
        <w:rPr>
          <w:sz w:val="24"/>
          <w:szCs w:val="24"/>
        </w:rPr>
      </w:pPr>
      <w:r>
        <w:rPr>
          <w:rStyle w:val="Fontepargpadro3"/>
          <w:b/>
          <w:bCs/>
          <w:color w:val="000000"/>
          <w:sz w:val="24"/>
          <w:szCs w:val="24"/>
        </w:rPr>
        <w:t xml:space="preserve">4.6 </w:t>
      </w:r>
      <w:r>
        <w:rPr>
          <w:rStyle w:val="Fontepargpadro3"/>
          <w:color w:val="000000"/>
          <w:sz w:val="24"/>
          <w:szCs w:val="24"/>
        </w:rPr>
        <w:t>Sem prejuízo das sanções previstas nos itens anteriores, a</w:t>
      </w:r>
      <w:r>
        <w:rPr>
          <w:rStyle w:val="Fontepargpadro3"/>
          <w:b/>
          <w:bCs/>
          <w:color w:val="000000"/>
          <w:sz w:val="24"/>
          <w:szCs w:val="24"/>
        </w:rPr>
        <w:t xml:space="preserve"> </w:t>
      </w:r>
      <w:r>
        <w:rPr>
          <w:rStyle w:val="Fontepargpadro3"/>
          <w:color w:val="000000"/>
          <w:sz w:val="24"/>
          <w:szCs w:val="24"/>
        </w:rPr>
        <w:t>responsabilização administrativa e civil de pessoas jurídicas pela prática de atos contra a Administração Pública, nacional ou estrangeira, na presente contratação, também se dará na forma prevista na Lei Federal n.º 12.846, de 2013, e regulamento no âmbito do Estado do Paraná,.</w:t>
      </w:r>
    </w:p>
    <w:p>
      <w:pPr>
        <w:pStyle w:val="Normal"/>
        <w:tabs>
          <w:tab w:val="clear" w:pos="708"/>
          <w:tab w:val="left" w:pos="567" w:leader="none"/>
        </w:tabs>
        <w:spacing w:before="57" w:after="0"/>
        <w:ind w:left="9" w:right="-55" w:hanging="0"/>
        <w:jc w:val="both"/>
        <w:rPr>
          <w:sz w:val="24"/>
          <w:szCs w:val="24"/>
        </w:rPr>
      </w:pPr>
      <w:r>
        <w:rPr>
          <w:rStyle w:val="Fontepargpadro3"/>
          <w:b/>
          <w:bCs/>
          <w:color w:val="000000"/>
          <w:sz w:val="24"/>
          <w:szCs w:val="24"/>
        </w:rPr>
        <w:t xml:space="preserve">4.7 </w:t>
      </w:r>
      <w:r>
        <w:rPr>
          <w:rStyle w:val="Fontepargpadro3"/>
          <w:color w:val="000000"/>
          <w:sz w:val="24"/>
          <w:szCs w:val="24"/>
        </w:rPr>
        <w:t xml:space="preserve">Quaisquer penalidades aplicadas serão transcritas no Portal Nacional de Contratações Públicas (PNCP) e no </w:t>
      </w:r>
      <w:r>
        <w:rPr>
          <w:rStyle w:val="Fontepargpadro3"/>
          <w:rFonts w:eastAsia="MS Mincho"/>
          <w:color w:val="000000"/>
          <w:sz w:val="24"/>
          <w:szCs w:val="24"/>
        </w:rPr>
        <w:t>Cadastro Unificado de Fornecedores do Estado do Paraná (CFPR).</w:t>
      </w:r>
    </w:p>
    <w:p>
      <w:pPr>
        <w:pStyle w:val="Normal"/>
        <w:widowControl/>
        <w:spacing w:beforeAutospacing="1" w:afterAutospacing="1"/>
        <w:jc w:val="both"/>
        <w:rPr>
          <w:rFonts w:eastAsia="Times New Roman"/>
          <w:b/>
          <w:bCs/>
          <w:color w:val="000000"/>
          <w:sz w:val="24"/>
          <w:szCs w:val="24"/>
          <w:shd w:fill="FFFFFF" w:val="clear"/>
          <w:lang w:eastAsia="pt-BR"/>
        </w:rPr>
      </w:pPr>
      <w:r>
        <w:rPr>
          <w:rFonts w:eastAsia="Times New Roman"/>
          <w:b/>
          <w:bCs/>
          <w:color w:val="000000"/>
          <w:sz w:val="24"/>
          <w:szCs w:val="24"/>
          <w:shd w:fill="FFFFFF" w:val="clear"/>
          <w:lang w:eastAsia="pt-BR"/>
        </w:rPr>
        <w:t>5 DOS CASOS DE EXTINÇÃO</w:t>
      </w:r>
    </w:p>
    <w:p>
      <w:pPr>
        <w:pStyle w:val="Normal"/>
        <w:widowControl/>
        <w:spacing w:beforeAutospacing="1" w:afterAutospacing="1"/>
        <w:jc w:val="both"/>
        <w:rPr>
          <w:rFonts w:eastAsia="Times New Roman"/>
          <w:b/>
          <w:bCs/>
          <w:color w:val="000000"/>
          <w:sz w:val="24"/>
          <w:szCs w:val="24"/>
          <w:shd w:fill="FFFFFF" w:val="clear"/>
          <w:lang w:eastAsia="pt-BR"/>
        </w:rPr>
      </w:pPr>
      <w:r>
        <w:rPr>
          <w:rFonts w:eastAsia="Times New Roman"/>
          <w:b/>
          <w:bCs/>
          <w:color w:val="000000"/>
          <w:sz w:val="24"/>
          <w:szCs w:val="24"/>
          <w:shd w:fill="FFFFFF" w:val="clear"/>
          <w:lang w:eastAsia="pt-BR"/>
        </w:rPr>
        <w:t xml:space="preserve">5.1 </w:t>
      </w:r>
      <w:r>
        <w:rPr>
          <w:rFonts w:eastAsia="Times New Roman"/>
          <w:bCs/>
          <w:color w:val="000000"/>
          <w:sz w:val="24"/>
          <w:szCs w:val="24"/>
          <w:shd w:fill="FFFFFF" w:val="clear"/>
          <w:lang w:eastAsia="pt-BR"/>
        </w:rPr>
        <w:t>O contrato poderá ser extinto:</w:t>
      </w:r>
    </w:p>
    <w:p>
      <w:pPr>
        <w:pStyle w:val="Normal"/>
        <w:widowControl/>
        <w:spacing w:beforeAutospacing="1" w:afterAutospacing="1"/>
        <w:jc w:val="both"/>
        <w:rPr>
          <w:rFonts w:eastAsia="Times New Roman"/>
          <w:bCs/>
          <w:color w:val="000000"/>
          <w:sz w:val="24"/>
          <w:szCs w:val="24"/>
          <w:shd w:fill="FFFFFF" w:val="clear"/>
          <w:lang w:eastAsia="pt-BR"/>
        </w:rPr>
      </w:pPr>
      <w:r>
        <w:rPr>
          <w:rFonts w:eastAsia="Times New Roman"/>
          <w:b/>
          <w:bCs/>
          <w:color w:val="000000"/>
          <w:sz w:val="24"/>
          <w:szCs w:val="24"/>
          <w:shd w:fill="FFFFFF" w:val="clear"/>
          <w:lang w:eastAsia="pt-BR"/>
        </w:rPr>
        <w:t xml:space="preserve">5.1.1 </w:t>
      </w:r>
      <w:r>
        <w:rPr>
          <w:rFonts w:eastAsia="Times New Roman"/>
          <w:bCs/>
          <w:color w:val="000000"/>
          <w:sz w:val="24"/>
          <w:szCs w:val="24"/>
          <w:shd w:fill="FFFFFF" w:val="clear"/>
          <w:lang w:eastAsia="pt-BR"/>
        </w:rPr>
        <w:t>por ato unilateral e escrito da Administração, exceto no caso de descumprimento decorrente de sua própria conduta;</w:t>
      </w:r>
    </w:p>
    <w:p>
      <w:pPr>
        <w:pStyle w:val="Normal"/>
        <w:widowControl/>
        <w:spacing w:beforeAutospacing="1" w:afterAutospacing="1"/>
        <w:jc w:val="both"/>
        <w:rPr>
          <w:rFonts w:eastAsia="Times New Roman"/>
          <w:b/>
          <w:bCs/>
          <w:color w:val="000000"/>
          <w:sz w:val="24"/>
          <w:szCs w:val="24"/>
          <w:shd w:fill="FFFFFF" w:val="clear"/>
          <w:lang w:eastAsia="pt-BR"/>
        </w:rPr>
      </w:pPr>
      <w:r>
        <w:rPr>
          <w:rFonts w:eastAsia="Times New Roman"/>
          <w:b/>
          <w:bCs/>
          <w:color w:val="000000"/>
          <w:sz w:val="24"/>
          <w:szCs w:val="24"/>
          <w:shd w:fill="FFFFFF" w:val="clear"/>
          <w:lang w:eastAsia="pt-BR"/>
        </w:rPr>
        <w:t xml:space="preserve">5.1.2 </w:t>
      </w:r>
      <w:r>
        <w:rPr>
          <w:rFonts w:eastAsia="Times New Roman"/>
          <w:bCs/>
          <w:color w:val="000000"/>
          <w:sz w:val="24"/>
          <w:szCs w:val="24"/>
          <w:shd w:fill="FFFFFF" w:val="clear"/>
          <w:lang w:eastAsia="pt-BR"/>
        </w:rPr>
        <w:t>de forma consensual, por acordo entre as partes, por conciliação, por mediação ou por comitê de resolução de disputas, desde que haja interesse da Administração; ou</w:t>
      </w:r>
    </w:p>
    <w:p>
      <w:pPr>
        <w:pStyle w:val="Normal"/>
        <w:widowControl/>
        <w:spacing w:beforeAutospacing="1" w:afterAutospacing="1"/>
        <w:jc w:val="both"/>
        <w:rPr>
          <w:rFonts w:eastAsia="Times New Roman"/>
          <w:b/>
          <w:bCs/>
          <w:color w:val="000000"/>
          <w:sz w:val="24"/>
          <w:szCs w:val="24"/>
          <w:shd w:fill="FFFFFF" w:val="clear"/>
          <w:lang w:eastAsia="pt-BR"/>
        </w:rPr>
      </w:pPr>
      <w:r>
        <w:rPr>
          <w:rFonts w:eastAsia="Times New Roman"/>
          <w:b/>
          <w:bCs/>
          <w:color w:val="000000"/>
          <w:sz w:val="24"/>
          <w:szCs w:val="24"/>
          <w:shd w:fill="FFFFFF" w:val="clear"/>
          <w:lang w:eastAsia="pt-BR"/>
        </w:rPr>
        <w:t xml:space="preserve">5.1.3 </w:t>
      </w:r>
      <w:r>
        <w:rPr>
          <w:rFonts w:eastAsia="Times New Roman"/>
          <w:bCs/>
          <w:color w:val="000000"/>
          <w:sz w:val="24"/>
          <w:szCs w:val="24"/>
          <w:shd w:fill="FFFFFF" w:val="clear"/>
          <w:lang w:eastAsia="pt-BR"/>
        </w:rPr>
        <w:t>por decisão arbitral, em decorrência de cláusula compromissória ou compromisso arbitral, ou por decisão judicial</w:t>
      </w:r>
      <w:r>
        <w:rPr>
          <w:rFonts w:eastAsia="Times New Roman"/>
          <w:b/>
          <w:bCs/>
          <w:color w:val="000000"/>
          <w:sz w:val="24"/>
          <w:szCs w:val="24"/>
          <w:shd w:fill="FFFFFF" w:val="clear"/>
          <w:lang w:eastAsia="pt-BR"/>
        </w:rPr>
        <w:t>.</w:t>
      </w:r>
    </w:p>
    <w:p>
      <w:pPr>
        <w:pStyle w:val="Normal"/>
        <w:widowControl/>
        <w:spacing w:beforeAutospacing="1" w:afterAutospacing="1"/>
        <w:jc w:val="both"/>
        <w:rPr>
          <w:rFonts w:eastAsia="Times New Roman"/>
          <w:b/>
          <w:bCs/>
          <w:color w:val="000000"/>
          <w:sz w:val="24"/>
          <w:szCs w:val="24"/>
          <w:shd w:fill="FFFFFF" w:val="clear"/>
          <w:lang w:eastAsia="pt-BR"/>
        </w:rPr>
      </w:pPr>
      <w:r>
        <w:rPr>
          <w:rFonts w:eastAsia="Times New Roman"/>
          <w:b/>
          <w:bCs/>
          <w:color w:val="000000"/>
          <w:sz w:val="24"/>
          <w:szCs w:val="24"/>
          <w:shd w:fill="FFFFFF" w:val="clear"/>
          <w:lang w:eastAsia="pt-BR"/>
        </w:rPr>
        <w:t xml:space="preserve">5.2 </w:t>
      </w:r>
      <w:r>
        <w:rPr>
          <w:rFonts w:eastAsia="Times New Roman"/>
          <w:bCs/>
          <w:color w:val="000000"/>
          <w:sz w:val="24"/>
          <w:szCs w:val="24"/>
          <w:shd w:fill="FFFFFF" w:val="clear"/>
          <w:lang w:eastAsia="pt-BR"/>
        </w:rPr>
        <w:t>No caso de rescisão consensual, a parte que pretender rescindir o Contrato comunicará sua intenção à outra, por escrito.</w:t>
      </w:r>
    </w:p>
    <w:p>
      <w:pPr>
        <w:pStyle w:val="Normal"/>
        <w:widowControl/>
        <w:spacing w:beforeAutospacing="1" w:afterAutospacing="1"/>
        <w:jc w:val="both"/>
        <w:rPr>
          <w:rFonts w:eastAsia="Times New Roman"/>
          <w:bCs/>
          <w:color w:val="000000"/>
          <w:sz w:val="24"/>
          <w:szCs w:val="24"/>
          <w:shd w:fill="FFFFFF" w:val="clear"/>
          <w:lang w:eastAsia="pt-BR"/>
        </w:rPr>
      </w:pPr>
      <w:r>
        <w:rPr>
          <w:rFonts w:eastAsia="Times New Roman"/>
          <w:b/>
          <w:bCs/>
          <w:color w:val="000000"/>
          <w:sz w:val="24"/>
          <w:szCs w:val="24"/>
          <w:shd w:fill="FFFFFF" w:val="clear"/>
          <w:lang w:eastAsia="pt-BR"/>
        </w:rPr>
        <w:t xml:space="preserve">5.3 </w:t>
      </w:r>
      <w:r>
        <w:rPr>
          <w:rFonts w:eastAsia="Times New Roman"/>
          <w:bCs/>
          <w:color w:val="000000"/>
          <w:sz w:val="24"/>
          <w:szCs w:val="24"/>
          <w:shd w:fill="FFFFFF" w:val="clear"/>
          <w:lang w:eastAsia="pt-BR"/>
        </w:rPr>
        <w:t>Os casos de extinção contratual devem ser formalmente motivados nos autos do processo, assegurado o contraditório e o direito de prévia e ampla defesa ao Contratado.</w:t>
      </w:r>
    </w:p>
    <w:p>
      <w:pPr>
        <w:pStyle w:val="Normal"/>
        <w:widowControl/>
        <w:spacing w:beforeAutospacing="1" w:afterAutospacing="1"/>
        <w:jc w:val="both"/>
        <w:rPr>
          <w:rFonts w:eastAsia="Times New Roman"/>
          <w:bCs/>
          <w:color w:val="000000"/>
          <w:sz w:val="24"/>
          <w:szCs w:val="24"/>
          <w:shd w:fill="FFFFFF" w:val="clear"/>
          <w:lang w:eastAsia="pt-BR"/>
        </w:rPr>
      </w:pPr>
      <w:r>
        <w:rPr>
          <w:rFonts w:eastAsia="Times New Roman"/>
          <w:b/>
          <w:bCs/>
          <w:color w:val="000000"/>
          <w:sz w:val="24"/>
          <w:szCs w:val="24"/>
          <w:shd w:fill="FFFFFF" w:val="clear"/>
          <w:lang w:eastAsia="pt-BR"/>
        </w:rPr>
        <w:t xml:space="preserve">5.4 </w:t>
      </w:r>
      <w:r>
        <w:rPr>
          <w:rFonts w:eastAsia="Times New Roman"/>
          <w:bCs/>
          <w:color w:val="000000"/>
          <w:sz w:val="24"/>
          <w:szCs w:val="24"/>
          <w:shd w:fill="FFFFFF" w:val="clear"/>
          <w:lang w:eastAsia="pt-BR"/>
        </w:rPr>
        <w:t>O Contratado, desde já, reconhece todos direitos da Administração Pública, em caso de extinção administrativa por inexecução total ou parcial.</w:t>
      </w:r>
    </w:p>
    <w:p>
      <w:pPr>
        <w:pStyle w:val="Normal"/>
        <w:widowControl/>
        <w:spacing w:beforeAutospacing="1" w:afterAutospacing="1"/>
        <w:jc w:val="both"/>
        <w:rPr>
          <w:rFonts w:eastAsia="Times New Roman"/>
          <w:bCs/>
          <w:color w:val="000000"/>
          <w:sz w:val="24"/>
          <w:szCs w:val="24"/>
          <w:shd w:fill="FFFFFF" w:val="clear"/>
          <w:lang w:eastAsia="pt-BR"/>
        </w:rPr>
      </w:pPr>
      <w:r>
        <w:rPr>
          <w:rFonts w:eastAsia="Times New Roman"/>
          <w:b/>
          <w:bCs/>
          <w:color w:val="000000"/>
          <w:sz w:val="24"/>
          <w:szCs w:val="24"/>
          <w:shd w:fill="FFFFFF" w:val="clear"/>
          <w:lang w:eastAsia="pt-BR"/>
        </w:rPr>
        <w:t xml:space="preserve">6 DA LEGISLAÇÃO APLICÁVEL: </w:t>
      </w:r>
      <w:r>
        <w:rPr>
          <w:rFonts w:eastAsia="Times New Roman"/>
          <w:bCs/>
          <w:color w:val="000000"/>
          <w:sz w:val="24"/>
          <w:szCs w:val="24"/>
          <w:shd w:fill="FFFFFF" w:val="clear"/>
          <w:lang w:eastAsia="pt-BR"/>
        </w:rPr>
        <w:t>Este instrumento é regido pela Lei Federal n.º 14.133, de 2021, pelo Decreto Estadual n.º 10.086, de 2022 e demais leis estaduais e federais pertinentes ao objeto da contratação, aplicando-se referida legislação aos casos omissos.</w:t>
      </w:r>
    </w:p>
    <w:p>
      <w:pPr>
        <w:pStyle w:val="Normal"/>
        <w:widowControl/>
        <w:spacing w:beforeAutospacing="1" w:afterAutospacing="1"/>
        <w:jc w:val="both"/>
        <w:rPr>
          <w:rFonts w:eastAsia="Times New Roman"/>
          <w:sz w:val="24"/>
          <w:szCs w:val="24"/>
          <w:lang w:eastAsia="pt-BR"/>
        </w:rPr>
      </w:pPr>
      <w:r>
        <w:rPr>
          <w:rFonts w:eastAsia="Times New Roman"/>
          <w:b/>
          <w:bCs/>
          <w:color w:val="000000"/>
          <w:sz w:val="24"/>
          <w:szCs w:val="24"/>
          <w:shd w:fill="FFFFFF" w:val="clear"/>
          <w:lang w:eastAsia="pt-BR"/>
        </w:rPr>
        <w:t xml:space="preserve">7 DO FORO: </w:t>
      </w:r>
      <w:r>
        <w:rPr>
          <w:rFonts w:eastAsia="Times New Roman"/>
          <w:color w:val="000000"/>
          <w:sz w:val="24"/>
          <w:szCs w:val="24"/>
          <w:shd w:fill="FFFFFF" w:val="clear"/>
          <w:lang w:eastAsia="pt-BR"/>
        </w:rPr>
        <w:t>As questões decorrentes do fornecimento</w:t>
      </w:r>
      <w:bookmarkStart w:id="0" w:name="_GoBack"/>
      <w:bookmarkEnd w:id="0"/>
      <w:r>
        <w:rPr>
          <w:rFonts w:eastAsia="Times New Roman"/>
          <w:color w:val="000000"/>
          <w:sz w:val="24"/>
          <w:szCs w:val="24"/>
          <w:shd w:fill="FFFFFF" w:val="clear"/>
          <w:lang w:eastAsia="pt-BR"/>
        </w:rPr>
        <w:t>, que não possam ser dirimidas administrativamente, serão processadas e julgadas na Justiça Estadual, no Foro Central da Comarca da Região Metropolitana de Curitiba – PR, com exclusão de qualquer outro, por mais privilegiado que seja.</w:t>
      </w:r>
    </w:p>
    <w:p>
      <w:pPr>
        <w:pStyle w:val="Normal"/>
        <w:widowControl/>
        <w:spacing w:beforeAutospacing="1" w:afterAutospacing="1"/>
        <w:jc w:val="both"/>
        <w:rPr>
          <w:rFonts w:eastAsia="Times New Roman"/>
          <w:sz w:val="24"/>
          <w:szCs w:val="24"/>
          <w:lang w:eastAsia="pt-BR"/>
        </w:rPr>
      </w:pPr>
      <w:r>
        <w:rPr>
          <w:rFonts w:eastAsia="Times New Roman"/>
          <w:sz w:val="24"/>
          <w:szCs w:val="24"/>
          <w:lang w:eastAsia="pt-BR"/>
        </w:rPr>
      </w:r>
    </w:p>
    <w:p>
      <w:pPr>
        <w:pStyle w:val="Normal"/>
        <w:widowControl/>
        <w:spacing w:beforeAutospacing="1" w:afterAutospacing="1"/>
        <w:jc w:val="both"/>
        <w:rPr>
          <w:rFonts w:eastAsia="Times New Roman"/>
          <w:sz w:val="24"/>
          <w:szCs w:val="24"/>
          <w:lang w:eastAsia="pt-BR"/>
        </w:rPr>
      </w:pPr>
      <w:r>
        <w:rPr>
          <w:rFonts w:eastAsia="Times New Roman"/>
          <w:sz w:val="24"/>
          <w:szCs w:val="24"/>
          <w:lang w:eastAsia="pt-BR"/>
        </w:rPr>
      </w:r>
    </w:p>
    <w:p>
      <w:pPr>
        <w:pStyle w:val="Corpodotexto"/>
        <w:spacing w:before="57" w:after="57"/>
        <w:ind w:left="27" w:hanging="0"/>
        <w:jc w:val="both"/>
        <w:rPr/>
      </w:pPr>
      <w:r>
        <w:rPr/>
      </w:r>
    </w:p>
    <w:sectPr>
      <w:type w:val="nextPage"/>
      <w:pgSz w:w="11906" w:h="16838"/>
      <w:pgMar w:left="1701" w:right="1701" w:gutter="0" w:header="0" w:top="1417" w:footer="0" w:bottom="1417"/>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2bcd"/>
    <w:pPr>
      <w:widowControl w:val="false"/>
      <w:suppressAutoHyphens w:val="true"/>
      <w:bidi w:val="0"/>
      <w:spacing w:lineRule="auto" w:line="240" w:before="0" w:after="0"/>
      <w:jc w:val="left"/>
    </w:pPr>
    <w:rPr>
      <w:rFonts w:ascii="Arial" w:hAnsi="Arial" w:eastAsia="Arial" w:cs="Arial"/>
      <w:color w:val="auto"/>
      <w:kern w:val="0"/>
      <w:sz w:val="22"/>
      <w:szCs w:val="22"/>
      <w:lang w:val="pt-PT" w:eastAsia="en-US" w:bidi="ar-SA"/>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link w:val="Corpodotexto"/>
    <w:qFormat/>
    <w:rsid w:val="00f62bcd"/>
    <w:rPr>
      <w:rFonts w:ascii="Arial" w:hAnsi="Arial" w:eastAsia="Arial" w:cs="Arial"/>
      <w:sz w:val="24"/>
      <w:szCs w:val="24"/>
      <w:lang w:val="pt-PT"/>
    </w:rPr>
  </w:style>
  <w:style w:type="character" w:styleId="CabealhoChar" w:customStyle="1">
    <w:name w:val="Cabeçalho Char"/>
    <w:basedOn w:val="DefaultParagraphFont"/>
    <w:uiPriority w:val="99"/>
    <w:qFormat/>
    <w:rsid w:val="00f62bcd"/>
    <w:rPr>
      <w:rFonts w:ascii="Arial" w:hAnsi="Arial" w:eastAsia="Arial" w:cs="Arial"/>
      <w:lang w:val="pt-PT"/>
    </w:rPr>
  </w:style>
  <w:style w:type="character" w:styleId="Fontepargpadro1" w:customStyle="1">
    <w:name w:val="Fonte parág. padrão1"/>
    <w:qFormat/>
    <w:rsid w:val="00f62bcd"/>
    <w:rPr/>
  </w:style>
  <w:style w:type="character" w:styleId="Annotationreference">
    <w:name w:val="annotation reference"/>
    <w:basedOn w:val="DefaultParagraphFont"/>
    <w:uiPriority w:val="99"/>
    <w:semiHidden/>
    <w:unhideWhenUsed/>
    <w:qFormat/>
    <w:rsid w:val="003632cf"/>
    <w:rPr>
      <w:sz w:val="16"/>
      <w:szCs w:val="16"/>
    </w:rPr>
  </w:style>
  <w:style w:type="character" w:styleId="TextodecomentrioChar" w:customStyle="1">
    <w:name w:val="Texto de comentário Char"/>
    <w:basedOn w:val="DefaultParagraphFont"/>
    <w:link w:val="Annotationtext"/>
    <w:uiPriority w:val="99"/>
    <w:semiHidden/>
    <w:qFormat/>
    <w:rsid w:val="003632cf"/>
    <w:rPr>
      <w:rFonts w:ascii="Arial" w:hAnsi="Arial" w:eastAsia="Arial" w:cs="Arial"/>
      <w:sz w:val="20"/>
      <w:szCs w:val="20"/>
      <w:lang w:val="pt-PT"/>
    </w:rPr>
  </w:style>
  <w:style w:type="character" w:styleId="AssuntodocomentrioChar" w:customStyle="1">
    <w:name w:val="Assunto do comentário Char"/>
    <w:basedOn w:val="TextodecomentrioChar"/>
    <w:link w:val="Annotationsubject"/>
    <w:uiPriority w:val="99"/>
    <w:semiHidden/>
    <w:qFormat/>
    <w:rsid w:val="003632cf"/>
    <w:rPr>
      <w:rFonts w:ascii="Arial" w:hAnsi="Arial" w:eastAsia="Arial" w:cs="Arial"/>
      <w:b/>
      <w:bCs/>
      <w:sz w:val="20"/>
      <w:szCs w:val="20"/>
      <w:lang w:val="pt-PT"/>
    </w:rPr>
  </w:style>
  <w:style w:type="character" w:styleId="TextodebaloChar" w:customStyle="1">
    <w:name w:val="Texto de balão Char"/>
    <w:basedOn w:val="DefaultParagraphFont"/>
    <w:link w:val="BalloonText"/>
    <w:uiPriority w:val="99"/>
    <w:semiHidden/>
    <w:qFormat/>
    <w:rsid w:val="003632cf"/>
    <w:rPr>
      <w:rFonts w:ascii="Segoe UI" w:hAnsi="Segoe UI" w:eastAsia="Arial" w:cs="Segoe UI"/>
      <w:sz w:val="18"/>
      <w:szCs w:val="18"/>
      <w:lang w:val="pt-PT"/>
    </w:rPr>
  </w:style>
  <w:style w:type="character" w:styleId="Fontepargpadro3" w:customStyle="1">
    <w:name w:val="Fonte parág. padrão3"/>
    <w:qFormat/>
    <w:rsid w:val="00f0616f"/>
    <w:rPr/>
  </w:style>
  <w:style w:type="character" w:styleId="TextodenotaderodapChar" w:customStyle="1">
    <w:name w:val="Texto de nota de rodapé Char"/>
    <w:basedOn w:val="DefaultParagraphFont"/>
    <w:uiPriority w:val="99"/>
    <w:semiHidden/>
    <w:qFormat/>
    <w:rsid w:val="00103fe6"/>
    <w:rPr>
      <w:rFonts w:ascii="Arial" w:hAnsi="Arial" w:eastAsia="Arial" w:cs="Arial"/>
      <w:sz w:val="20"/>
      <w:szCs w:val="20"/>
      <w:lang w:val="pt-P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customStyle="1">
    <w:name w:val="Body Text"/>
    <w:basedOn w:val="Normal"/>
    <w:link w:val="CorpodetextoChar"/>
    <w:qFormat/>
    <w:rsid w:val="00f62bcd"/>
    <w:pPr/>
    <w:rPr>
      <w:sz w:val="24"/>
      <w:szCs w:val="24"/>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f62bcd"/>
    <w:pPr>
      <w:ind w:left="953" w:hanging="360"/>
      <w:jc w:val="both"/>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62bcd"/>
    <w:pPr>
      <w:tabs>
        <w:tab w:val="clear" w:pos="708"/>
        <w:tab w:val="center" w:pos="4252" w:leader="none"/>
        <w:tab w:val="right" w:pos="8504" w:leader="none"/>
      </w:tabs>
    </w:pPr>
    <w:rPr/>
  </w:style>
  <w:style w:type="paragraph" w:styleId="NormalWeb">
    <w:name w:val="Normal (Web)"/>
    <w:basedOn w:val="Normal"/>
    <w:uiPriority w:val="99"/>
    <w:semiHidden/>
    <w:unhideWhenUsed/>
    <w:qFormat/>
    <w:rsid w:val="00e95f27"/>
    <w:pPr>
      <w:widowControl/>
      <w:spacing w:beforeAutospacing="1" w:afterAutospacing="1"/>
    </w:pPr>
    <w:rPr>
      <w:rFonts w:ascii="Times New Roman" w:hAnsi="Times New Roman" w:eastAsia="Times New Roman" w:cs="Times New Roman"/>
      <w:sz w:val="24"/>
      <w:szCs w:val="24"/>
      <w:lang w:val="pt-BR" w:eastAsia="pt-BR"/>
    </w:rPr>
  </w:style>
  <w:style w:type="paragraph" w:styleId="Western" w:customStyle="1">
    <w:name w:val="western"/>
    <w:basedOn w:val="Normal"/>
    <w:qFormat/>
    <w:rsid w:val="00e95f27"/>
    <w:pPr>
      <w:widowControl/>
      <w:spacing w:beforeAutospacing="1" w:afterAutospacing="1"/>
    </w:pPr>
    <w:rPr>
      <w:rFonts w:eastAsia="Times New Roman"/>
      <w:sz w:val="24"/>
      <w:szCs w:val="24"/>
      <w:lang w:val="pt-BR" w:eastAsia="pt-BR"/>
    </w:rPr>
  </w:style>
  <w:style w:type="paragraph" w:styleId="Annotationtext">
    <w:name w:val="annotation text"/>
    <w:basedOn w:val="Normal"/>
    <w:link w:val="TextodecomentrioChar"/>
    <w:uiPriority w:val="99"/>
    <w:semiHidden/>
    <w:unhideWhenUsed/>
    <w:qFormat/>
    <w:rsid w:val="003632cf"/>
    <w:pPr/>
    <w:rPr>
      <w:sz w:val="20"/>
      <w:szCs w:val="20"/>
    </w:rPr>
  </w:style>
  <w:style w:type="paragraph" w:styleId="Annotationsubject">
    <w:name w:val="annotation subject"/>
    <w:basedOn w:val="Annotationtext"/>
    <w:next w:val="Annotationtext"/>
    <w:link w:val="AssuntodocomentrioChar"/>
    <w:uiPriority w:val="99"/>
    <w:semiHidden/>
    <w:unhideWhenUsed/>
    <w:qFormat/>
    <w:rsid w:val="003632cf"/>
    <w:pPr/>
    <w:rPr>
      <w:b/>
      <w:bCs/>
    </w:rPr>
  </w:style>
  <w:style w:type="paragraph" w:styleId="BalloonText">
    <w:name w:val="Balloon Text"/>
    <w:basedOn w:val="Normal"/>
    <w:link w:val="TextodebaloChar"/>
    <w:uiPriority w:val="99"/>
    <w:semiHidden/>
    <w:unhideWhenUsed/>
    <w:qFormat/>
    <w:rsid w:val="003632cf"/>
    <w:pPr/>
    <w:rPr>
      <w:rFonts w:ascii="Segoe UI" w:hAnsi="Segoe UI" w:cs="Segoe UI"/>
      <w:sz w:val="18"/>
      <w:szCs w:val="18"/>
    </w:rPr>
  </w:style>
  <w:style w:type="paragraph" w:styleId="Citao2" w:customStyle="1">
    <w:name w:val="citação 2"/>
    <w:basedOn w:val="Notaderodap"/>
    <w:next w:val="Normal"/>
    <w:qFormat/>
    <w:rsid w:val="00103fe6"/>
    <w:pPr>
      <w:widowControl/>
      <w:suppressLineNumbers/>
      <w:pBdr/>
      <w:shd w:val="clear" w:color="auto" w:fill="FFFFCC"/>
      <w:ind w:left="339" w:hanging="339"/>
      <w:textAlignment w:val="baseline"/>
    </w:pPr>
    <w:rPr>
      <w:rFonts w:ascii="Liberation Serif" w:hAnsi="Liberation Serif" w:eastAsia="NSimSun"/>
      <w:kern w:val="2"/>
      <w:lang w:val="pt-BR" w:eastAsia="zh-CN" w:bidi="hi-IN"/>
    </w:rPr>
  </w:style>
  <w:style w:type="paragraph" w:styleId="Notaderodap">
    <w:name w:val="Footnote Text"/>
    <w:basedOn w:val="Normal"/>
    <w:link w:val="TextodenotaderodapChar"/>
    <w:uiPriority w:val="99"/>
    <w:semiHidden/>
    <w:unhideWhenUsed/>
    <w:rsid w:val="00103fe6"/>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LibreOffice/7.5.7.1$Windows_X86_64 LibreOffice_project/47eb0cf7efbacdee9b19ae25d6752381ede23126</Application>
  <AppVersion>15.0000</AppVersion>
  <DocSecurity>0</DocSecurity>
  <Pages>3</Pages>
  <Words>1510</Words>
  <Characters>8200</Characters>
  <CharactersWithSpaces>9655</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2023-11-16T12:02:00Z</dcterms:created>
  <dc:creator>Bruno Gontijo Rocha</dc:creator>
  <dc:description/>
  <dc:language>pt-BR</dc:language>
  <cp:lastModifiedBy>Conta da Microsoft</cp:lastModifiedBy>
  <dcterms:modified xsi:type="dcterms:W3CDTF">2023-11-16T12:02:00Z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