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E6" w:rsidRDefault="00D42EE6">
      <w:pPr>
        <w:spacing w:before="120" w:after="120"/>
        <w:ind w:left="4519" w:right="118"/>
        <w:jc w:val="both"/>
        <w:rPr>
          <w:b/>
        </w:rPr>
      </w:pPr>
      <w:bookmarkStart w:id="0" w:name="_GoBack"/>
      <w:bookmarkEnd w:id="0"/>
    </w:p>
    <w:p w:rsidR="00D42EE6" w:rsidRDefault="00D42EE6">
      <w:pPr>
        <w:spacing w:before="120" w:after="120"/>
        <w:ind w:left="4519" w:right="118"/>
        <w:jc w:val="both"/>
        <w:rPr>
          <w:b/>
        </w:rPr>
      </w:pPr>
    </w:p>
    <w:p w:rsidR="00D42EE6" w:rsidRDefault="00D42EE6">
      <w:pPr>
        <w:spacing w:before="120" w:after="120"/>
        <w:ind w:left="4519" w:right="118"/>
        <w:jc w:val="both"/>
        <w:rPr>
          <w:b/>
        </w:rPr>
      </w:pPr>
    </w:p>
    <w:p w:rsidR="00D42EE6" w:rsidRDefault="00DD36FA">
      <w:pPr>
        <w:spacing w:before="120" w:after="120"/>
        <w:ind w:left="4519" w:right="118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TERMO DE EXECUÇÃO DESCENTRALIZADA N.º </w:t>
      </w:r>
      <w:r>
        <w:rPr>
          <w:b/>
          <w:color w:val="000000"/>
          <w:sz w:val="24"/>
          <w:szCs w:val="24"/>
          <w:shd w:val="clear" w:color="auto" w:fill="FFFF00"/>
        </w:rPr>
        <w:t>XXX/20XX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QUE ENTRE SI ESTABELECEM AS </w:t>
      </w:r>
      <w:r>
        <w:rPr>
          <w:b/>
          <w:bCs/>
          <w:color w:val="000000"/>
          <w:sz w:val="24"/>
          <w:szCs w:val="24"/>
        </w:rPr>
        <w:t>SECRETARIAS DE ESTADO E ENTIDADES DA ADMINISTRAÇÃO INDIRETA DO ESTADO DO PARANÁ CONSTANTES DO ANEXO I</w:t>
      </w:r>
      <w:r>
        <w:rPr>
          <w:color w:val="000000"/>
          <w:sz w:val="24"/>
          <w:szCs w:val="24"/>
        </w:rPr>
        <w:t xml:space="preserve">, NA CONDIÇÃO DE </w:t>
      </w:r>
      <w:r>
        <w:rPr>
          <w:b/>
          <w:color w:val="000000"/>
          <w:sz w:val="24"/>
          <w:szCs w:val="24"/>
        </w:rPr>
        <w:t>UNIDADES DESCENTRALIZADORAS</w:t>
      </w:r>
      <w:r>
        <w:rPr>
          <w:color w:val="000000"/>
          <w:sz w:val="24"/>
          <w:szCs w:val="24"/>
        </w:rPr>
        <w:t xml:space="preserve"> E A </w:t>
      </w:r>
      <w:r>
        <w:rPr>
          <w:b/>
          <w:color w:val="000000"/>
          <w:sz w:val="24"/>
          <w:szCs w:val="24"/>
        </w:rPr>
        <w:t xml:space="preserve">SECRETARIA DE ESTADO DA </w:t>
      </w:r>
      <w:r>
        <w:rPr>
          <w:b/>
          <w:color w:val="000000"/>
          <w:sz w:val="24"/>
          <w:szCs w:val="24"/>
        </w:rPr>
        <w:t>ADMINISTRAÇÃO E DA PREVIDÊNCIA (SEAP)</w:t>
      </w:r>
      <w:r>
        <w:rPr>
          <w:color w:val="000000"/>
          <w:sz w:val="24"/>
          <w:szCs w:val="24"/>
        </w:rPr>
        <w:t xml:space="preserve">, NA CONDIÇÃO DE </w:t>
      </w:r>
      <w:r>
        <w:rPr>
          <w:b/>
          <w:color w:val="000000"/>
          <w:sz w:val="24"/>
          <w:szCs w:val="24"/>
        </w:rPr>
        <w:t>UNIDADE DESCENTRALIZADA</w:t>
      </w:r>
      <w:r>
        <w:rPr>
          <w:color w:val="000000"/>
          <w:sz w:val="24"/>
          <w:szCs w:val="24"/>
        </w:rPr>
        <w:t>, VISANDO À DESCENTRALIZAÇÃO DO ORÇAMENTO PROGRAMADO PARA A EXECUÇÃO DE AÇÕES DE INTERESSE RECÍPROCO REFERENTES AO SISTEMA DE ASSISTÊNCIA À SAÚDE (SAS).</w:t>
      </w:r>
    </w:p>
    <w:p w:rsidR="00D42EE6" w:rsidRDefault="00D42EE6">
      <w:pPr>
        <w:pStyle w:val="Corpodetexto"/>
        <w:spacing w:before="120" w:after="120" w:line="360" w:lineRule="auto"/>
        <w:jc w:val="both"/>
        <w:rPr>
          <w:sz w:val="24"/>
          <w:szCs w:val="24"/>
        </w:rPr>
      </w:pPr>
    </w:p>
    <w:p w:rsidR="00D42EE6" w:rsidRDefault="00D42EE6">
      <w:pPr>
        <w:jc w:val="both"/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42EE6">
        <w:tc>
          <w:tcPr>
            <w:tcW w:w="8494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Nota explicativa 1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:rsidR="00D42EE6" w:rsidRDefault="00D42EE6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</w:p>
          <w:p w:rsidR="00D42EE6" w:rsidRDefault="00DD36FA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(O</w:t>
            </w:r>
            <w:r>
              <w:rPr>
                <w:color w:val="000000"/>
                <w:sz w:val="18"/>
                <w:szCs w:val="18"/>
              </w:rPr>
              <w:t xml:space="preserve">bs. As notas explicativas são meramente orientativas, portanto, devem ser excluídas do termo a ser assinado e publicado) </w:t>
            </w:r>
          </w:p>
          <w:p w:rsidR="00D42EE6" w:rsidRDefault="00DD36FA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 órgãos e entes da Administração Pública Estadual deverão observar que esta minuta padronizada integra a categoria de “INSTRUMENTOS </w:t>
            </w:r>
            <w:r>
              <w:rPr>
                <w:color w:val="000000"/>
                <w:sz w:val="18"/>
                <w:szCs w:val="18"/>
              </w:rPr>
              <w:t>COM OBJETO DEFINIDO”, a qual dispensa a remessa para manifestação jurídica do órgão ou setor competente, nos termos do artigo 5º do Decreto Estadual n.º 3.203/2015, e do artigo 8º, §§ 4º e 6º, da Resolução n.º 41/2016-PGE.</w:t>
            </w:r>
          </w:p>
          <w:p w:rsidR="00D42EE6" w:rsidRDefault="00D42EE6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D42EE6" w:rsidRDefault="00D42EE6">
      <w:pPr>
        <w:jc w:val="both"/>
      </w:pPr>
    </w:p>
    <w:p w:rsidR="00D42EE6" w:rsidRDefault="00D42EE6">
      <w:pPr>
        <w:pStyle w:val="Corpodetexto"/>
        <w:spacing w:before="120" w:after="120" w:line="360" w:lineRule="auto"/>
        <w:ind w:left="215" w:right="115"/>
        <w:jc w:val="both"/>
        <w:rPr>
          <w:sz w:val="24"/>
          <w:szCs w:val="24"/>
        </w:rPr>
      </w:pPr>
    </w:p>
    <w:p w:rsidR="00D42EE6" w:rsidRDefault="00DD36FA">
      <w:pPr>
        <w:pStyle w:val="Corpodetexto"/>
        <w:spacing w:before="120" w:after="120" w:line="360" w:lineRule="auto"/>
        <w:ind w:left="215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UNIDADES DESCENTRALIZADOR</w:t>
      </w:r>
      <w:r>
        <w:rPr>
          <w:b/>
          <w:color w:val="000000"/>
          <w:sz w:val="24"/>
          <w:szCs w:val="24"/>
        </w:rPr>
        <w:t>AS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arroladas e qualificadas no </w:t>
      </w:r>
      <w:r>
        <w:rPr>
          <w:sz w:val="24"/>
          <w:szCs w:val="24"/>
        </w:rPr>
        <w:t>ANEXO</w:t>
      </w:r>
      <w:r>
        <w:rPr>
          <w:sz w:val="24"/>
          <w:szCs w:val="24"/>
        </w:rPr>
        <w:t xml:space="preserve"> I, representadas </w:t>
      </w:r>
      <w:r>
        <w:rPr>
          <w:sz w:val="24"/>
          <w:szCs w:val="24"/>
        </w:rPr>
        <w:t xml:space="preserve">pelas autoridades ali designadas e qualificadas </w:t>
      </w:r>
      <w:r>
        <w:rPr>
          <w:sz w:val="24"/>
          <w:szCs w:val="24"/>
        </w:rPr>
        <w:t xml:space="preserve">e a </w:t>
      </w:r>
      <w:r>
        <w:rPr>
          <w:b/>
          <w:sz w:val="24"/>
          <w:szCs w:val="24"/>
        </w:rPr>
        <w:t>SECRETARIA DE ESTADO DA ADMINISTRAÇÃO E DA PREVIDÊNCIA</w:t>
      </w:r>
      <w:r>
        <w:rPr>
          <w:sz w:val="24"/>
          <w:szCs w:val="24"/>
        </w:rPr>
        <w:t xml:space="preserve">, localizada na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 xml:space="preserve">, inscrita no CNPJ/MF sob nº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 xml:space="preserve">, doravante denominada </w:t>
      </w:r>
      <w:r>
        <w:rPr>
          <w:b/>
          <w:sz w:val="24"/>
          <w:szCs w:val="24"/>
        </w:rPr>
        <w:t xml:space="preserve">UNIDADE </w:t>
      </w:r>
      <w:r>
        <w:rPr>
          <w:b/>
          <w:sz w:val="24"/>
          <w:szCs w:val="24"/>
        </w:rPr>
        <w:t>DESCENTRALIZADA</w:t>
      </w:r>
      <w:r>
        <w:rPr>
          <w:sz w:val="24"/>
          <w:szCs w:val="24"/>
        </w:rPr>
        <w:t xml:space="preserve">, neste ato representada por seu </w:t>
      </w:r>
      <w:r>
        <w:rPr>
          <w:sz w:val="24"/>
          <w:szCs w:val="24"/>
          <w:highlight w:val="yellow"/>
        </w:rPr>
        <w:t xml:space="preserve">(CARGO), </w:t>
      </w:r>
      <w:r>
        <w:rPr>
          <w:b/>
          <w:sz w:val="24"/>
          <w:szCs w:val="24"/>
          <w:highlight w:val="yellow"/>
        </w:rPr>
        <w:t>(NOME)</w:t>
      </w:r>
      <w:r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portador do RG nº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 xml:space="preserve"> e do CPF sob nº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>, considerando o disposto no</w:t>
      </w:r>
      <w:r>
        <w:rPr>
          <w:color w:val="000000" w:themeColor="text1"/>
          <w:sz w:val="24"/>
          <w:szCs w:val="24"/>
        </w:rPr>
        <w:t xml:space="preserve"> art. 68 da Lei Complementar nº 231, de 2020, no Decreto Estadual nº 8.887, de 2010, e no Decreto Estadual nº 11.180, de</w:t>
      </w:r>
      <w:r>
        <w:rPr>
          <w:color w:val="000000" w:themeColor="text1"/>
          <w:sz w:val="24"/>
          <w:szCs w:val="24"/>
        </w:rPr>
        <w:t xml:space="preserve"> 2022, </w:t>
      </w:r>
      <w:r>
        <w:rPr>
          <w:color w:val="000000" w:themeColor="text1"/>
          <w:sz w:val="24"/>
          <w:szCs w:val="24"/>
          <w:lang w:val="pt-BR"/>
        </w:rPr>
        <w:t xml:space="preserve">bem como nas demais normas aplicáveis à espécie, </w:t>
      </w:r>
      <w:r>
        <w:rPr>
          <w:color w:val="000000" w:themeColor="text1"/>
          <w:sz w:val="24"/>
          <w:szCs w:val="24"/>
        </w:rPr>
        <w:t xml:space="preserve">resolvem </w:t>
      </w:r>
      <w:r>
        <w:rPr>
          <w:sz w:val="24"/>
          <w:szCs w:val="24"/>
        </w:rPr>
        <w:t xml:space="preserve">firmar o presente </w:t>
      </w:r>
      <w:r>
        <w:rPr>
          <w:b/>
          <w:sz w:val="24"/>
          <w:szCs w:val="24"/>
        </w:rPr>
        <w:t>TERMO DE EXECUÇÃO DESCENTRALIZADA</w:t>
      </w:r>
      <w:r>
        <w:rPr>
          <w:sz w:val="24"/>
          <w:szCs w:val="24"/>
        </w:rPr>
        <w:t>, sem repasse de recursos financeiros ou descentralização de cota financeira do Tesouro entre unidades descentralizadoras e descentralizada,</w:t>
      </w:r>
      <w:r>
        <w:rPr>
          <w:sz w:val="24"/>
          <w:szCs w:val="24"/>
        </w:rPr>
        <w:t xml:space="preserve"> de acordo com o contido no protocolado nº </w:t>
      </w:r>
      <w:r>
        <w:rPr>
          <w:b/>
          <w:sz w:val="24"/>
          <w:szCs w:val="24"/>
          <w:highlight w:val="yellow"/>
        </w:rPr>
        <w:t>XXXX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mediante as cláusulas e condições a seguir estabelecidas:</w:t>
      </w:r>
    </w:p>
    <w:tbl>
      <w:tblPr>
        <w:tblStyle w:val="Tabelacomgrade"/>
        <w:tblW w:w="8936" w:type="dxa"/>
        <w:tblLayout w:type="fixed"/>
        <w:tblLook w:val="04A0" w:firstRow="1" w:lastRow="0" w:firstColumn="1" w:lastColumn="0" w:noHBand="0" w:noVBand="1"/>
      </w:tblPr>
      <w:tblGrid>
        <w:gridCol w:w="8936"/>
      </w:tblGrid>
      <w:tr w:rsidR="00D42EE6">
        <w:tc>
          <w:tcPr>
            <w:tcW w:w="8936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Nota explicativa 2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:rsidR="00D42EE6" w:rsidRDefault="00D42EE6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</w:p>
          <w:p w:rsidR="00D42EE6" w:rsidRDefault="00DD36FA">
            <w:pPr>
              <w:pStyle w:val="Corpodetexto"/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Considerando o disposto no art. 68 da LC n. 231/2020, de acordo com o qual o SAS “será custeado por recursos alocados nas unidades orçamentárias da Administração Direta, Indireta, dos Poderes, do Ministério Público, da Defensoria Pública e do Tribunal de C</w:t>
            </w:r>
            <w:r>
              <w:rPr>
                <w:color w:val="000000"/>
                <w:sz w:val="18"/>
                <w:szCs w:val="18"/>
              </w:rPr>
              <w:t xml:space="preserve">ontas”, e com vistas a simplificar o procedimento de descentralização, recomenda-se a celebração de </w:t>
            </w:r>
            <w:r>
              <w:rPr>
                <w:b/>
                <w:bCs/>
                <w:color w:val="000000"/>
                <w:sz w:val="18"/>
                <w:szCs w:val="18"/>
              </w:rPr>
              <w:t>um único TED</w:t>
            </w:r>
            <w:r>
              <w:rPr>
                <w:color w:val="000000"/>
                <w:sz w:val="18"/>
                <w:szCs w:val="18"/>
              </w:rPr>
              <w:t xml:space="preserve"> para todas as unidades da Adminstração. Devem constar do Anexo I, assim, na condição de Unidades Descentralizadoras, todas as unidades orçament</w:t>
            </w:r>
            <w:r>
              <w:rPr>
                <w:color w:val="000000"/>
                <w:sz w:val="18"/>
                <w:szCs w:val="18"/>
              </w:rPr>
              <w:t>árias da Administração Direta e Indireta.</w:t>
            </w:r>
          </w:p>
          <w:p w:rsidR="00D42EE6" w:rsidRDefault="00D42EE6">
            <w:pPr>
              <w:pStyle w:val="Corpodetexto"/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:rsidR="00D42EE6" w:rsidRDefault="00D42EE6">
      <w:pPr>
        <w:pStyle w:val="Corpodetexto"/>
        <w:spacing w:before="119" w:after="119" w:line="360" w:lineRule="auto"/>
        <w:jc w:val="both"/>
        <w:rPr>
          <w:sz w:val="24"/>
          <w:szCs w:val="24"/>
        </w:rPr>
      </w:pPr>
    </w:p>
    <w:p w:rsidR="00D42EE6" w:rsidRDefault="00DD36FA">
      <w:pPr>
        <w:pStyle w:val="Ttulo1"/>
        <w:spacing w:before="119" w:after="11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CLÁUSULA PRIMEIRA – OBJETO</w:t>
      </w:r>
    </w:p>
    <w:p w:rsidR="00D42EE6" w:rsidRDefault="00DD36FA">
      <w:pPr>
        <w:pStyle w:val="Corpodetexto"/>
        <w:spacing w:before="119" w:after="119" w:line="360" w:lineRule="auto"/>
        <w:ind w:left="215" w:right="122"/>
        <w:jc w:val="both"/>
        <w:rPr>
          <w:sz w:val="24"/>
          <w:szCs w:val="24"/>
        </w:rPr>
      </w:pPr>
      <w:r>
        <w:rPr>
          <w:sz w:val="24"/>
          <w:szCs w:val="24"/>
        </w:rPr>
        <w:t>1. O presente Termo de Execução Descentralizada – TED – tem por finalidade instrumentalizar a descentralização orçamentária para viabilizar a execução de ações de interesse recíproco r</w:t>
      </w:r>
      <w:r>
        <w:rPr>
          <w:sz w:val="24"/>
          <w:szCs w:val="24"/>
        </w:rPr>
        <w:t xml:space="preserve">eferentes ao Sistema de Assistência à Saúde (SAS), nos termos do </w:t>
      </w:r>
      <w:r>
        <w:rPr>
          <w:color w:val="000000" w:themeColor="text1"/>
          <w:sz w:val="24"/>
          <w:szCs w:val="24"/>
        </w:rPr>
        <w:t>art. 68 da Lei Complementar nº 231, de 2020 e do Decreto Estadual nº 8.887, de 2010,</w:t>
      </w:r>
      <w:r>
        <w:rPr>
          <w:sz w:val="24"/>
          <w:szCs w:val="24"/>
        </w:rPr>
        <w:t xml:space="preserve"> e em sintonia com o Plano de Trabalho aprovado, às fls.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 xml:space="preserve"> do protocolo nº. </w:t>
      </w:r>
      <w:r>
        <w:rPr>
          <w:sz w:val="24"/>
          <w:szCs w:val="24"/>
          <w:highlight w:val="yellow"/>
        </w:rPr>
        <w:t>XXXX</w:t>
      </w:r>
      <w:r>
        <w:rPr>
          <w:sz w:val="24"/>
          <w:szCs w:val="24"/>
        </w:rPr>
        <w:t>, parte integrante desse</w:t>
      </w:r>
      <w:r>
        <w:rPr>
          <w:sz w:val="24"/>
          <w:szCs w:val="24"/>
        </w:rPr>
        <w:t xml:space="preserve"> Termo.</w:t>
      </w:r>
    </w:p>
    <w:p w:rsidR="00D42EE6" w:rsidRDefault="00D42EE6">
      <w:pPr>
        <w:pStyle w:val="Corpodetexto"/>
        <w:spacing w:before="119" w:after="119" w:line="360" w:lineRule="auto"/>
        <w:ind w:left="215" w:right="122"/>
        <w:jc w:val="both"/>
        <w:rPr>
          <w:color w:val="000000"/>
          <w:sz w:val="24"/>
          <w:szCs w:val="24"/>
        </w:rPr>
      </w:pPr>
    </w:p>
    <w:p w:rsidR="00D42EE6" w:rsidRDefault="00DD36FA">
      <w:pPr>
        <w:pStyle w:val="Corpodetexto"/>
        <w:spacing w:before="119" w:after="119" w:line="360" w:lineRule="auto"/>
        <w:ind w:left="215" w:right="122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CLÁUSULA SEGUNDA – DA VINCULAÇÃO DAS PEÇAS DOCUMENTAIS </w:t>
      </w:r>
    </w:p>
    <w:p w:rsidR="00D42EE6" w:rsidRDefault="00DD36FA">
      <w:pPr>
        <w:pStyle w:val="Corpodetexto"/>
        <w:spacing w:before="119" w:after="119" w:line="360" w:lineRule="auto"/>
        <w:ind w:left="215" w:right="122"/>
        <w:jc w:val="both"/>
        <w:rPr>
          <w:color w:val="000000"/>
        </w:rPr>
      </w:pPr>
      <w:r>
        <w:rPr>
          <w:color w:val="000000"/>
          <w:sz w:val="24"/>
          <w:szCs w:val="24"/>
          <w:lang w:val="pt-BR"/>
        </w:rPr>
        <w:t>2. Integram este TED, independente de transcrição, o plano de trabalho aprovado pelas autoridades competentes, bem como os documentos constantes do Protocolado n.º [</w:t>
      </w:r>
      <w:r>
        <w:rPr>
          <w:color w:val="000000"/>
          <w:sz w:val="24"/>
          <w:szCs w:val="24"/>
          <w:shd w:val="clear" w:color="auto" w:fill="FFFF00"/>
          <w:lang w:val="pt-BR"/>
        </w:rPr>
        <w:t>XXXXXXXXXX</w:t>
      </w:r>
      <w:r>
        <w:rPr>
          <w:color w:val="000000"/>
          <w:sz w:val="24"/>
          <w:szCs w:val="24"/>
          <w:lang w:val="pt-BR"/>
        </w:rPr>
        <w:t xml:space="preserve">]. </w:t>
      </w:r>
    </w:p>
    <w:p w:rsidR="00D42EE6" w:rsidRDefault="00DD36FA">
      <w:pPr>
        <w:pStyle w:val="Corpodetexto"/>
        <w:spacing w:before="119" w:after="119" w:line="360" w:lineRule="auto"/>
        <w:ind w:left="215" w:right="122"/>
        <w:jc w:val="both"/>
        <w:rPr>
          <w:color w:val="000000"/>
        </w:rPr>
      </w:pPr>
      <w:r>
        <w:rPr>
          <w:color w:val="000000"/>
          <w:sz w:val="24"/>
          <w:szCs w:val="24"/>
          <w:lang w:val="pt-BR"/>
        </w:rPr>
        <w:t xml:space="preserve">2.1. O plano de trabalho aprovado poderá ser alterado pelos participes, mediante </w:t>
      </w:r>
      <w:r>
        <w:rPr>
          <w:color w:val="000000"/>
          <w:sz w:val="24"/>
          <w:szCs w:val="24"/>
          <w:lang w:val="pt-BR"/>
        </w:rPr>
        <w:lastRenderedPageBreak/>
        <w:t xml:space="preserve">termo aditivo ou termo de apostilamento, conforme o caso, desde que não implique alteração do objeto do TED; </w:t>
      </w:r>
    </w:p>
    <w:p w:rsidR="00D42EE6" w:rsidRDefault="00DD36FA">
      <w:pPr>
        <w:pStyle w:val="Corpodetexto"/>
        <w:spacing w:before="119" w:after="119" w:line="360" w:lineRule="auto"/>
        <w:ind w:left="215" w:right="122"/>
        <w:jc w:val="both"/>
        <w:rPr>
          <w:color w:val="000000"/>
        </w:rPr>
      </w:pPr>
      <w:r>
        <w:rPr>
          <w:color w:val="000000"/>
          <w:sz w:val="24"/>
          <w:szCs w:val="24"/>
          <w:lang w:val="pt-BR"/>
        </w:rPr>
        <w:t>2.2. Qualquer alteração do plano de trabalho deverá ser precedida</w:t>
      </w:r>
      <w:r>
        <w:rPr>
          <w:color w:val="000000"/>
          <w:sz w:val="24"/>
          <w:szCs w:val="24"/>
          <w:lang w:val="pt-BR"/>
        </w:rPr>
        <w:t xml:space="preserve"> de manifestação técnica elaborada por servidor ou órgão que possua habilitação para se manifestar sobre a questão, sem prejuízo da prévia aprovação das unidades descentralizadora e descentralizada.</w:t>
      </w:r>
    </w:p>
    <w:p w:rsidR="00D42EE6" w:rsidRDefault="00D42EE6">
      <w:pPr>
        <w:pStyle w:val="Ttulo1"/>
        <w:spacing w:before="119" w:after="119" w:line="360" w:lineRule="auto"/>
        <w:jc w:val="both"/>
        <w:rPr>
          <w:color w:val="000000"/>
          <w:sz w:val="24"/>
          <w:szCs w:val="24"/>
          <w:lang w:val="pt-BR"/>
        </w:rPr>
      </w:pPr>
    </w:p>
    <w:p w:rsidR="00D42EE6" w:rsidRDefault="00DD36FA">
      <w:pPr>
        <w:pStyle w:val="Ttulo1"/>
        <w:spacing w:before="119" w:after="119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C</w:t>
      </w:r>
      <w:r>
        <w:rPr>
          <w:sz w:val="24"/>
          <w:szCs w:val="24"/>
        </w:rPr>
        <w:t>LÁUSULA TERCEIRA – OBRIGAÇÕES DOS PARTÍCIPES</w:t>
      </w:r>
    </w:p>
    <w:p w:rsidR="00D42EE6" w:rsidRDefault="00DD36FA">
      <w:pPr>
        <w:pStyle w:val="Ttulo1"/>
        <w:spacing w:before="119" w:after="119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3.1</w:t>
      </w:r>
      <w:r>
        <w:rPr>
          <w:b w:val="0"/>
          <w:bCs w:val="0"/>
          <w:color w:val="000000"/>
          <w:sz w:val="24"/>
          <w:szCs w:val="24"/>
        </w:rPr>
        <w:t xml:space="preserve">. </w:t>
      </w:r>
      <w:r>
        <w:rPr>
          <w:b w:val="0"/>
          <w:bCs w:val="0"/>
          <w:color w:val="000000"/>
          <w:sz w:val="24"/>
          <w:szCs w:val="24"/>
          <w:lang w:val="pt-BR"/>
        </w:rPr>
        <w:t>São o</w:t>
      </w:r>
      <w:r>
        <w:rPr>
          <w:b w:val="0"/>
          <w:bCs w:val="0"/>
          <w:color w:val="000000"/>
          <w:sz w:val="24"/>
          <w:szCs w:val="24"/>
          <w:lang w:val="pt-BR"/>
        </w:rPr>
        <w:t xml:space="preserve">brigações comuns aos partícipes deste TED: </w:t>
      </w:r>
    </w:p>
    <w:p w:rsidR="00D42EE6" w:rsidRDefault="00DD36FA">
      <w:pPr>
        <w:pStyle w:val="Ttulo1"/>
        <w:spacing w:before="119" w:after="119" w:line="360" w:lineRule="auto"/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  <w:lang w:val="pt-BR"/>
        </w:rPr>
        <w:t xml:space="preserve">3.1.1. elaborar, analisar, aprovar e executar as ações objeto deste TED, assim como monitorar os resultados considerando as metas definidas no Plano de Trabalho; </w:t>
      </w:r>
    </w:p>
    <w:p w:rsidR="00D42EE6" w:rsidRDefault="00DD36FA">
      <w:pPr>
        <w:pStyle w:val="Ttulo1"/>
        <w:spacing w:before="119" w:after="119" w:line="360" w:lineRule="auto"/>
        <w:jc w:val="both"/>
        <w:rPr>
          <w:b w:val="0"/>
          <w:bCs w:val="0"/>
          <w:color w:val="000000"/>
          <w:sz w:val="24"/>
          <w:szCs w:val="24"/>
          <w:lang w:val="pt-BR"/>
        </w:rPr>
      </w:pPr>
      <w:r>
        <w:rPr>
          <w:b w:val="0"/>
          <w:bCs w:val="0"/>
          <w:color w:val="000000"/>
          <w:sz w:val="24"/>
          <w:szCs w:val="24"/>
          <w:lang w:val="pt-BR"/>
        </w:rPr>
        <w:t>3.1.2. aprovar a prorrogação da vigência do TED;</w:t>
      </w:r>
    </w:p>
    <w:p w:rsidR="00D42EE6" w:rsidRDefault="00DD36FA">
      <w:pPr>
        <w:pStyle w:val="Ttulo1"/>
        <w:spacing w:before="119" w:after="119" w:line="360" w:lineRule="auto"/>
        <w:jc w:val="both"/>
        <w:rPr>
          <w:b w:val="0"/>
          <w:bCs w:val="0"/>
          <w:color w:val="000000"/>
          <w:sz w:val="24"/>
          <w:szCs w:val="24"/>
          <w:lang w:val="pt-BR"/>
        </w:rPr>
      </w:pPr>
      <w:r>
        <w:rPr>
          <w:b w:val="0"/>
          <w:bCs w:val="0"/>
          <w:color w:val="000000"/>
          <w:sz w:val="24"/>
          <w:szCs w:val="24"/>
          <w:lang w:val="pt-BR"/>
        </w:rPr>
        <w:t>3.1.3. autorizar as alterações no TED, mediante prévio termo aditivo ou termo de apostilamento.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eastAsia="Arial" w:hAnsi="Arial"/>
          <w:lang w:val="pt-PT" w:eastAsia="pt-PT" w:bidi="pt-PT"/>
        </w:rPr>
      </w:pPr>
      <w:r>
        <w:rPr>
          <w:rFonts w:ascii="Arial" w:eastAsia="Arial" w:hAnsi="Arial"/>
          <w:color w:val="000000"/>
          <w:kern w:val="0"/>
          <w:lang w:val="pt-BR" w:eastAsia="pt-PT" w:bidi="pt-PT"/>
        </w:rPr>
        <w:t xml:space="preserve">3.1.4. designar, no prazo de vinte dias, contado da data de celebração do TED, os agentes públicos que atuarão como fiscais titulares e suplentes do TED e </w:t>
      </w:r>
      <w:r>
        <w:rPr>
          <w:rFonts w:ascii="Arial" w:eastAsia="Arial" w:hAnsi="Arial"/>
          <w:color w:val="000000"/>
          <w:kern w:val="0"/>
          <w:lang w:val="pt-BR" w:eastAsia="pt-PT" w:bidi="pt-PT"/>
        </w:rPr>
        <w:t>exercerão a função de</w:t>
      </w:r>
      <w:r>
        <w:rPr>
          <w:rFonts w:ascii="Arial" w:hAnsi="Arial"/>
          <w:color w:val="000000"/>
          <w:lang w:val="pt-BR"/>
        </w:rPr>
        <w:t xml:space="preserve"> monitoramento e de avaliação da execução do objeto pactuado, publicando-se o ato na imprensa oficial e nos respectivos sítios eletrônicos oficiais;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eastAsia="Arial" w:hAnsi="Arial"/>
          <w:lang w:val="pt-PT" w:eastAsia="pt-PT" w:bidi="pt-PT"/>
        </w:rPr>
      </w:pPr>
      <w:r>
        <w:rPr>
          <w:rFonts w:ascii="Arial" w:hAnsi="Arial"/>
          <w:color w:val="000000"/>
          <w:lang w:val="pt-BR"/>
        </w:rPr>
        <w:t xml:space="preserve">3.1.5. </w:t>
      </w:r>
      <w:r>
        <w:rPr>
          <w:rFonts w:ascii="Arial" w:hAnsi="Arial"/>
          <w:color w:val="000000"/>
          <w:lang w:val="pt-BR" w:bidi="pt-PT"/>
        </w:rPr>
        <w:t xml:space="preserve">adotar providências administrativas preliminares e instaurar tomada de contas </w:t>
      </w:r>
      <w:r>
        <w:rPr>
          <w:rFonts w:ascii="Arial" w:hAnsi="Arial"/>
          <w:color w:val="000000"/>
          <w:lang w:val="pt-BR" w:bidi="pt-PT"/>
        </w:rPr>
        <w:t>especial, quando necessário, nos termos da Lei 20.656, de 3 de agosto de 2021;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color w:val="000000"/>
          <w:lang w:val="pt-BR" w:bidi="pt-PT"/>
        </w:rPr>
      </w:pPr>
      <w:r>
        <w:rPr>
          <w:rFonts w:ascii="Arial" w:hAnsi="Arial"/>
          <w:color w:val="000000"/>
          <w:lang w:val="pt-BR" w:bidi="pt-PT"/>
        </w:rPr>
        <w:t xml:space="preserve">3.1.6. assegurar que todas as pessoas designadas para exercer atribuições relacionadas ao TED conheçam e explicitamente aceitem todas as condições aqui estabelecidas; </w:t>
      </w:r>
    </w:p>
    <w:p w:rsidR="00D42EE6" w:rsidRDefault="00DD36FA">
      <w:pPr>
        <w:pStyle w:val="Ttulo1"/>
        <w:spacing w:before="119" w:after="119" w:line="360" w:lineRule="auto"/>
        <w:jc w:val="both"/>
      </w:pPr>
      <w:r>
        <w:rPr>
          <w:b w:val="0"/>
          <w:bCs w:val="0"/>
          <w:color w:val="000000"/>
          <w:sz w:val="24"/>
          <w:szCs w:val="24"/>
          <w:lang w:val="pt-BR"/>
        </w:rPr>
        <w:lastRenderedPageBreak/>
        <w:t>3.1.7. an</w:t>
      </w:r>
      <w:r>
        <w:rPr>
          <w:b w:val="0"/>
          <w:bCs w:val="0"/>
          <w:color w:val="000000"/>
          <w:sz w:val="24"/>
          <w:szCs w:val="24"/>
          <w:lang w:val="pt-BR"/>
        </w:rPr>
        <w:t xml:space="preserve">alisar resultados parciais, reformulando metas quando necessário ao alcance do resultado final almejado neste TED e no respectivo Plano de Trabalho; </w:t>
      </w:r>
    </w:p>
    <w:p w:rsidR="00D42EE6" w:rsidRDefault="00DD36FA">
      <w:pPr>
        <w:pStyle w:val="Ttulo1"/>
        <w:spacing w:before="119" w:after="119" w:line="360" w:lineRule="auto"/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  <w:lang w:val="pt-BR"/>
        </w:rPr>
        <w:t>3.1.8. permitir o livre acesso a agentes da Administração Pública (controle interno e externo), a todos os</w:t>
      </w:r>
      <w:r>
        <w:rPr>
          <w:b w:val="0"/>
          <w:bCs w:val="0"/>
          <w:color w:val="000000"/>
          <w:sz w:val="24"/>
          <w:szCs w:val="24"/>
          <w:lang w:val="pt-BR"/>
        </w:rPr>
        <w:t xml:space="preserve"> documentos relacionados ao TED, assim como aos elementos de sua execução; </w:t>
      </w:r>
    </w:p>
    <w:p w:rsidR="00D42EE6" w:rsidRDefault="00DD36FA">
      <w:pPr>
        <w:pStyle w:val="Ttulo1"/>
        <w:spacing w:before="119" w:after="119" w:line="360" w:lineRule="auto"/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  <w:lang w:val="pt-BR"/>
        </w:rPr>
        <w:t xml:space="preserve">3.1.9. fornecer aos partícipes as informações necessárias e disponíveis para o cumprimento das obrigações acordadas; </w:t>
      </w:r>
    </w:p>
    <w:p w:rsidR="00D42EE6" w:rsidRDefault="00DD36FA">
      <w:pPr>
        <w:pStyle w:val="Ttulo1"/>
        <w:spacing w:before="119" w:after="119" w:line="360" w:lineRule="auto"/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  <w:lang w:val="pt-BR"/>
        </w:rPr>
        <w:t>3.1.10. manter sigilo das informações sensíveis (conforme clas</w:t>
      </w:r>
      <w:r>
        <w:rPr>
          <w:b w:val="0"/>
          <w:bCs w:val="0"/>
          <w:color w:val="000000"/>
          <w:sz w:val="24"/>
          <w:szCs w:val="24"/>
          <w:lang w:val="pt-BR"/>
        </w:rPr>
        <w:t>sificação da Lei nº 12.527, de 18 de novembro de 2011, Lei de Acesso à Informação) obtidas em razão da execução do TED, somente divulgando-as se houver expressa autorização dos partícipes; e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 xml:space="preserve">São obrigações das </w:t>
      </w:r>
      <w:r>
        <w:rPr>
          <w:b/>
          <w:color w:val="000000"/>
          <w:sz w:val="24"/>
          <w:szCs w:val="24"/>
        </w:rPr>
        <w:t>UNIDADES DESCENTRALIZADORAS</w:t>
      </w:r>
      <w:r>
        <w:rPr>
          <w:color w:val="000000"/>
          <w:sz w:val="24"/>
          <w:szCs w:val="24"/>
        </w:rPr>
        <w:t>: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3.2.1 promov</w:t>
      </w:r>
      <w:r>
        <w:rPr>
          <w:sz w:val="24"/>
          <w:szCs w:val="24"/>
        </w:rPr>
        <w:t>er a descentralização do crédito orçamentário, além de realizar a liquidação e o pagamento das despesas provenientes dos serviços, em obediência ao cronograma de desembolso constante do Plano de Trabalho, que guardará consonância com as metas, fases ou eta</w:t>
      </w:r>
      <w:r>
        <w:rPr>
          <w:sz w:val="24"/>
          <w:szCs w:val="24"/>
        </w:rPr>
        <w:t>pas de execução do objeto deste TED.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3.2.2  solicitar relatórios parciais de cumprimento do objeto ou outros documentos necessários à comprovação da execução do objeto, quando necessário.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3.2.3 analisar e manifestar-se</w:t>
      </w:r>
      <w:r>
        <w:rPr>
          <w:color w:val="000000"/>
          <w:sz w:val="24"/>
          <w:szCs w:val="24"/>
        </w:rPr>
        <w:t xml:space="preserve"> sobre os relatórios anuais e final de cumpriment</w:t>
      </w:r>
      <w:r>
        <w:rPr>
          <w:sz w:val="24"/>
          <w:szCs w:val="24"/>
        </w:rPr>
        <w:t xml:space="preserve">o do objeto apresentado pela </w:t>
      </w:r>
      <w:r>
        <w:rPr>
          <w:b/>
          <w:sz w:val="24"/>
          <w:szCs w:val="24"/>
        </w:rPr>
        <w:t>UNIDADE DESCENTRALIZADA.</w:t>
      </w:r>
    </w:p>
    <w:p w:rsidR="00D42EE6" w:rsidRDefault="00DD36FA">
      <w:pPr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3.2.4 r</w:t>
      </w:r>
      <w:proofErr w:type="spellStart"/>
      <w:r>
        <w:rPr>
          <w:sz w:val="24"/>
          <w:szCs w:val="24"/>
          <w:lang w:val="pt-BR"/>
        </w:rPr>
        <w:t>ealizar</w:t>
      </w:r>
      <w:proofErr w:type="spellEnd"/>
      <w:r>
        <w:rPr>
          <w:sz w:val="24"/>
          <w:szCs w:val="24"/>
          <w:lang w:val="pt-BR"/>
        </w:rPr>
        <w:t xml:space="preserve"> o acompanhamento, a fiscalização, o controle, a supervisão e a avaliação do cumprimento do objeto deste Termo, podendo, para tanto, solici</w:t>
      </w:r>
      <w:r>
        <w:rPr>
          <w:sz w:val="24"/>
          <w:szCs w:val="24"/>
          <w:lang w:val="pt-BR"/>
        </w:rPr>
        <w:t>tar relatórios acerca da sua execução, realizar diligências e visitas</w:t>
      </w:r>
      <w:r>
        <w:rPr>
          <w:i/>
          <w:iCs/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comunicando a </w:t>
      </w:r>
      <w:r>
        <w:rPr>
          <w:b/>
          <w:sz w:val="24"/>
          <w:szCs w:val="24"/>
        </w:rPr>
        <w:t>UNIDADE DESCENTRALIZADA</w:t>
      </w:r>
      <w:r>
        <w:rPr>
          <w:sz w:val="24"/>
          <w:szCs w:val="24"/>
          <w:lang w:val="pt-BR"/>
        </w:rPr>
        <w:t xml:space="preserve"> quaisquer irregularidades decorrentes da execução dos créditos orçamentários ou outras pendências de ordem técnica ou legal, bem como suspender a e</w:t>
      </w:r>
      <w:r>
        <w:rPr>
          <w:sz w:val="24"/>
          <w:szCs w:val="24"/>
          <w:lang w:val="pt-BR"/>
        </w:rPr>
        <w:t>xecução do TED, fixando prazo para saneamento ou apresentação de informações e esclarecimentos</w:t>
      </w:r>
      <w:r>
        <w:rPr>
          <w:sz w:val="24"/>
          <w:szCs w:val="24"/>
          <w:shd w:val="clear" w:color="auto" w:fill="FFFFFF"/>
          <w:lang w:val="pt-BR"/>
        </w:rPr>
        <w:t>.</w:t>
      </w:r>
    </w:p>
    <w:p w:rsidR="00D42EE6" w:rsidRDefault="00DD36FA">
      <w:pPr>
        <w:pStyle w:val="Corpodetexto21"/>
        <w:spacing w:before="119" w:after="119" w:line="360" w:lineRule="auto"/>
        <w:ind w:left="227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3.2.5 notificar a </w:t>
      </w:r>
      <w:r>
        <w:rPr>
          <w:rFonts w:ascii="Arial" w:hAnsi="Arial"/>
          <w:b/>
          <w:sz w:val="24"/>
          <w:szCs w:val="24"/>
        </w:rPr>
        <w:t>UNIDADE DESCENTRALIZADA</w:t>
      </w:r>
      <w:r>
        <w:rPr>
          <w:rFonts w:ascii="Arial" w:hAnsi="Arial" w:cs="Arial"/>
          <w:sz w:val="24"/>
          <w:szCs w:val="24"/>
        </w:rPr>
        <w:t>, quando não apresentados os relatórios de execução do TED ou quando houver indícios da má execução do objeto, conferin</w:t>
      </w:r>
      <w:r>
        <w:rPr>
          <w:rFonts w:ascii="Arial" w:hAnsi="Arial" w:cs="Arial"/>
          <w:sz w:val="24"/>
          <w:szCs w:val="24"/>
        </w:rPr>
        <w:t xml:space="preserve">do prazo de 30 dias, prorrogável uma vez por igual período, para resposta pela </w:t>
      </w:r>
      <w:r>
        <w:rPr>
          <w:rFonts w:ascii="Arial" w:hAnsi="Arial" w:cs="Arial"/>
          <w:b/>
          <w:sz w:val="24"/>
          <w:szCs w:val="24"/>
        </w:rPr>
        <w:t>UNIDADE DESCENTRALIZADA</w:t>
      </w:r>
      <w:r>
        <w:rPr>
          <w:rFonts w:ascii="Arial" w:hAnsi="Arial" w:cs="Arial"/>
          <w:sz w:val="24"/>
          <w:szCs w:val="24"/>
        </w:rPr>
        <w:t xml:space="preserve">, período no qual a execução do TED poderá ser suspensa. </w:t>
      </w:r>
    </w:p>
    <w:p w:rsidR="00D42EE6" w:rsidRDefault="00DD36FA">
      <w:pPr>
        <w:pStyle w:val="Corpodetexto21"/>
        <w:spacing w:before="119" w:after="119" w:line="360" w:lineRule="auto"/>
        <w:ind w:left="227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3.2.6 renovar anualmente as notas de movimentação de crédito via sistema único de execução orçam</w:t>
      </w:r>
      <w:r>
        <w:rPr>
          <w:rFonts w:ascii="Arial" w:hAnsi="Arial" w:cs="Arial"/>
          <w:color w:val="000000"/>
          <w:sz w:val="24"/>
          <w:szCs w:val="24"/>
        </w:rPr>
        <w:t>entária e financeira e anexá-las ao respectivo processo.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3.3 </w:t>
      </w:r>
      <w:r>
        <w:rPr>
          <w:sz w:val="24"/>
          <w:szCs w:val="24"/>
        </w:rPr>
        <w:t xml:space="preserve">Compete à </w:t>
      </w:r>
      <w:r>
        <w:rPr>
          <w:b/>
          <w:sz w:val="24"/>
          <w:szCs w:val="24"/>
        </w:rPr>
        <w:t>UNIDADE DESCENTRALIZADA</w:t>
      </w:r>
      <w:r>
        <w:rPr>
          <w:sz w:val="24"/>
          <w:szCs w:val="24"/>
        </w:rPr>
        <w:t>:</w:t>
      </w:r>
    </w:p>
    <w:p w:rsidR="00D42EE6" w:rsidRDefault="00DD36FA">
      <w:pPr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3.3.1 utilizar os créditos descentralizados de acordo com o Plano de Trabalho e em conformidade com os procedimentos legais e regulamentares;</w:t>
      </w:r>
    </w:p>
    <w:p w:rsidR="00D42EE6" w:rsidRDefault="00DD36FA">
      <w:pPr>
        <w:tabs>
          <w:tab w:val="left" w:pos="0"/>
        </w:tabs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3.3.2 cumprir rigo</w:t>
      </w:r>
      <w:r>
        <w:rPr>
          <w:sz w:val="24"/>
          <w:szCs w:val="24"/>
        </w:rPr>
        <w:t>rosamente os prazos e as metas em conformidade com o Plano de Trabalho e disposições deste TED, adotando todas as medidas necessárias a sua correta execução</w:t>
      </w:r>
      <w:r>
        <w:rPr>
          <w:sz w:val="24"/>
          <w:szCs w:val="24"/>
          <w:shd w:val="clear" w:color="auto" w:fill="FFFFFF"/>
        </w:rPr>
        <w:t>;</w:t>
      </w:r>
    </w:p>
    <w:p w:rsidR="00D42EE6" w:rsidRDefault="00DD36FA">
      <w:pPr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3.3.3 encaminhar à unidade descentr</w:t>
      </w:r>
      <w:r>
        <w:rPr>
          <w:color w:val="000000"/>
          <w:sz w:val="24"/>
          <w:szCs w:val="24"/>
        </w:rPr>
        <w:t>alizadora: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a) relatórios parciais de cumprimento do objeto, qua</w:t>
      </w:r>
      <w:r>
        <w:rPr>
          <w:rFonts w:ascii="Arial" w:hAnsi="Arial"/>
          <w:color w:val="000000"/>
          <w:lang w:val="pt-BR"/>
        </w:rPr>
        <w:t>ndo solicitados;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b) relatório anual de cumprimento do objeto;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c) o relatório final de cumprimento do objeto;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3.3.4 assegurar a conformidade dos documentos, das informações e dos demonstrativos de natureza contábil, financeira, orçamentária e operacional;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3</w:t>
      </w:r>
      <w:r>
        <w:rPr>
          <w:rFonts w:ascii="Arial" w:hAnsi="Arial"/>
          <w:lang w:val="pt-BR"/>
        </w:rPr>
        <w:t xml:space="preserve">.3.5 mencionar as </w:t>
      </w:r>
      <w:r>
        <w:rPr>
          <w:rFonts w:ascii="Arial" w:hAnsi="Arial"/>
          <w:b/>
          <w:lang w:val="pt-BR"/>
        </w:rPr>
        <w:t>U</w:t>
      </w:r>
      <w:r>
        <w:rPr>
          <w:rFonts w:ascii="Arial" w:hAnsi="Arial"/>
          <w:b/>
          <w:color w:val="000000"/>
          <w:lang w:val="pt-BR"/>
        </w:rPr>
        <w:t>NIDADES DESCENTRALIZADORAS</w:t>
      </w:r>
      <w:r>
        <w:rPr>
          <w:rFonts w:ascii="Arial" w:hAnsi="Arial"/>
          <w:color w:val="000000"/>
          <w:lang w:val="pt-BR"/>
        </w:rPr>
        <w:t xml:space="preserve"> quando divulgar dados, resultados e publica</w:t>
      </w:r>
      <w:r>
        <w:rPr>
          <w:rFonts w:ascii="Arial" w:hAnsi="Arial"/>
          <w:lang w:val="pt-BR"/>
        </w:rPr>
        <w:t xml:space="preserve">ções referentes ao objeto do TED, quando necessário; 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3.3.6 disponibilizar documentos comprobatórios da execução regular dos créditos orçamentários aos órgãos de contr</w:t>
      </w:r>
      <w:r>
        <w:rPr>
          <w:rFonts w:ascii="Arial" w:hAnsi="Arial"/>
          <w:lang w:val="pt-BR"/>
        </w:rPr>
        <w:t>ole e</w:t>
      </w:r>
      <w:r>
        <w:rPr>
          <w:rFonts w:ascii="Arial" w:hAnsi="Arial"/>
          <w:color w:val="000000"/>
          <w:lang w:val="pt-BR"/>
        </w:rPr>
        <w:t xml:space="preserve"> às </w:t>
      </w:r>
      <w:r>
        <w:rPr>
          <w:rFonts w:ascii="Arial" w:hAnsi="Arial"/>
          <w:b/>
          <w:color w:val="000000"/>
          <w:lang w:val="pt-BR"/>
        </w:rPr>
        <w:t>UNIDADES DESCENTRALIZADORAS</w:t>
      </w:r>
      <w:r>
        <w:rPr>
          <w:rFonts w:ascii="Arial" w:hAnsi="Arial"/>
          <w:color w:val="000000"/>
          <w:lang w:val="pt-BR"/>
        </w:rPr>
        <w:t>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3.3.7 </w:t>
      </w:r>
      <w:r>
        <w:rPr>
          <w:rFonts w:ascii="Arial" w:eastAsia="Times New Roman" w:hAnsi="Arial"/>
          <w:color w:val="000000" w:themeColor="text1"/>
          <w:lang w:val="pt-BR"/>
        </w:rPr>
        <w:t xml:space="preserve">Para a liquidação e o respectivo pagamento, a UNIDADE DESCENTRALIZADA </w:t>
      </w:r>
      <w:r>
        <w:rPr>
          <w:rFonts w:ascii="Arial" w:eastAsia="Times New Roman" w:hAnsi="Arial"/>
          <w:color w:val="000000"/>
          <w:lang w:val="pt-BR"/>
        </w:rPr>
        <w:t>disponibilizará às</w:t>
      </w:r>
      <w:r>
        <w:rPr>
          <w:rFonts w:ascii="Arial" w:eastAsia="Times New Roman" w:hAnsi="Arial"/>
          <w:color w:val="000000" w:themeColor="text1"/>
          <w:lang w:val="pt-BR"/>
        </w:rPr>
        <w:t xml:space="preserve"> </w:t>
      </w:r>
      <w:r>
        <w:rPr>
          <w:rFonts w:ascii="Arial" w:eastAsia="Times New Roman" w:hAnsi="Arial"/>
          <w:b/>
          <w:color w:val="000000" w:themeColor="text1"/>
          <w:lang w:val="pt-BR"/>
        </w:rPr>
        <w:t>UNIDADE</w:t>
      </w:r>
      <w:r>
        <w:rPr>
          <w:rFonts w:ascii="Arial" w:hAnsi="Arial"/>
          <w:b/>
          <w:color w:val="000000"/>
          <w:lang w:val="pt-BR"/>
        </w:rPr>
        <w:t xml:space="preserve">S </w:t>
      </w:r>
      <w:r>
        <w:rPr>
          <w:rFonts w:ascii="Arial" w:eastAsia="Times New Roman" w:hAnsi="Arial"/>
          <w:b/>
          <w:color w:val="000000" w:themeColor="text1"/>
          <w:lang w:val="pt-BR"/>
        </w:rPr>
        <w:t>DESCENTRALIZADORA</w:t>
      </w:r>
      <w:r>
        <w:rPr>
          <w:rFonts w:ascii="Arial" w:hAnsi="Arial"/>
          <w:b/>
          <w:color w:val="000000"/>
          <w:lang w:val="pt-BR"/>
        </w:rPr>
        <w:t>S</w:t>
      </w:r>
      <w:r>
        <w:rPr>
          <w:rFonts w:ascii="Arial" w:eastAsia="Times New Roman" w:hAnsi="Arial"/>
          <w:b/>
          <w:color w:val="000000" w:themeColor="text1"/>
          <w:lang w:val="pt-BR"/>
        </w:rPr>
        <w:t>:</w:t>
      </w:r>
    </w:p>
    <w:p w:rsidR="00D42EE6" w:rsidRDefault="00DD36FA">
      <w:pPr>
        <w:pStyle w:val="Recuodecorpodetexto1"/>
        <w:numPr>
          <w:ilvl w:val="0"/>
          <w:numId w:val="1"/>
        </w:numPr>
        <w:tabs>
          <w:tab w:val="clear" w:pos="720"/>
        </w:tabs>
        <w:spacing w:before="280" w:line="360" w:lineRule="auto"/>
        <w:ind w:left="283" w:firstLine="0"/>
        <w:jc w:val="both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>cópia do processo licitatório ou do instrumento de contratação direta;</w:t>
      </w:r>
    </w:p>
    <w:p w:rsidR="00D42EE6" w:rsidRDefault="00DD36FA">
      <w:pPr>
        <w:pStyle w:val="Recuodecorpodetexto1"/>
        <w:numPr>
          <w:ilvl w:val="0"/>
          <w:numId w:val="1"/>
        </w:numPr>
        <w:tabs>
          <w:tab w:val="clear" w:pos="720"/>
        </w:tabs>
        <w:spacing w:line="360" w:lineRule="auto"/>
        <w:ind w:left="283" w:firstLine="0"/>
        <w:jc w:val="both"/>
        <w:rPr>
          <w:color w:val="000000"/>
        </w:rPr>
      </w:pPr>
      <w:r>
        <w:rPr>
          <w:rFonts w:ascii="Arial" w:eastAsia="Times New Roman" w:hAnsi="Arial" w:cs="Arial"/>
          <w:color w:val="000000" w:themeColor="text1"/>
        </w:rPr>
        <w:t>cópia do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contrato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ori</w:t>
      </w:r>
      <w:r>
        <w:rPr>
          <w:rFonts w:ascii="Arial" w:eastAsia="Times New Roman" w:hAnsi="Arial" w:cs="Arial"/>
          <w:color w:val="000000" w:themeColor="text1"/>
        </w:rPr>
        <w:t>gina</w:t>
      </w:r>
      <w:r>
        <w:rPr>
          <w:rFonts w:ascii="Arial" w:eastAsia="Times New Roman" w:hAnsi="Arial" w:cs="Arial"/>
          <w:color w:val="000000"/>
        </w:rPr>
        <w:t xml:space="preserve">is </w:t>
      </w:r>
      <w:r>
        <w:rPr>
          <w:rFonts w:ascii="Arial" w:eastAsia="Times New Roman" w:hAnsi="Arial" w:cs="Arial"/>
          <w:color w:val="000000" w:themeColor="text1"/>
        </w:rPr>
        <w:t>celebrado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 xml:space="preserve">para a execução </w:t>
      </w:r>
      <w:r>
        <w:rPr>
          <w:rFonts w:ascii="Arial" w:eastAsia="Times New Roman" w:hAnsi="Arial" w:cs="Arial"/>
          <w:color w:val="000000"/>
        </w:rPr>
        <w:t>do SAS</w:t>
      </w:r>
      <w:r>
        <w:rPr>
          <w:rFonts w:ascii="Arial" w:eastAsia="Times New Roman" w:hAnsi="Arial" w:cs="Arial"/>
          <w:color w:val="000000" w:themeColor="text1"/>
        </w:rPr>
        <w:t>;</w:t>
      </w:r>
    </w:p>
    <w:p w:rsidR="00D42EE6" w:rsidRDefault="00DD36FA">
      <w:pPr>
        <w:pStyle w:val="Recuodecorpodetexto1"/>
        <w:numPr>
          <w:ilvl w:val="0"/>
          <w:numId w:val="1"/>
        </w:numPr>
        <w:tabs>
          <w:tab w:val="clear" w:pos="720"/>
        </w:tabs>
        <w:spacing w:line="360" w:lineRule="auto"/>
        <w:ind w:left="283" w:firstLine="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</w:rPr>
        <w:t>uma via de cada</w:t>
      </w:r>
      <w:r>
        <w:rPr>
          <w:rFonts w:ascii="Arial" w:eastAsia="Times New Roman" w:hAnsi="Arial" w:cs="Arial"/>
          <w:color w:val="000000" w:themeColor="text1"/>
        </w:rPr>
        <w:t xml:space="preserve"> nota de empenho;</w:t>
      </w:r>
    </w:p>
    <w:p w:rsidR="00D42EE6" w:rsidRDefault="00DD36FA">
      <w:pPr>
        <w:pStyle w:val="Recuodecorpodetexto1"/>
        <w:numPr>
          <w:ilvl w:val="0"/>
          <w:numId w:val="1"/>
        </w:numPr>
        <w:tabs>
          <w:tab w:val="clear" w:pos="720"/>
        </w:tabs>
        <w:spacing w:after="280" w:line="360" w:lineRule="auto"/>
        <w:ind w:left="283" w:firstLine="0"/>
        <w:jc w:val="both"/>
        <w:rPr>
          <w:color w:val="000000"/>
        </w:rPr>
      </w:pPr>
      <w:r>
        <w:rPr>
          <w:rFonts w:ascii="Arial" w:eastAsia="Times New Roman" w:hAnsi="Arial" w:cs="Arial"/>
          <w:color w:val="000000" w:themeColor="text1"/>
        </w:rPr>
        <w:t>nota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fiscai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fatura referente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à execução da parcela do objeto a ser paga, devidamente atestada</w:t>
      </w:r>
      <w:r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 w:themeColor="text1"/>
        </w:rPr>
        <w:t>pela área afim.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3</w:t>
      </w:r>
      <w:r>
        <w:rPr>
          <w:rFonts w:ascii="Arial" w:hAnsi="Arial"/>
          <w:color w:val="000000"/>
          <w:lang w:val="pt-BR"/>
        </w:rPr>
        <w:t>.3.8 adotar providências administrativas preliminares e instaurar tomada de contas especial, quando identificar a ocorrência de desfalque ou desvio de dinheiro, bens ou valores públicos, ou ainda, da prática de qualquer ato ilegal, ilegítimo ou antieconômi</w:t>
      </w:r>
      <w:r>
        <w:rPr>
          <w:rFonts w:ascii="Arial" w:hAnsi="Arial"/>
          <w:color w:val="000000"/>
          <w:lang w:val="pt-BR"/>
        </w:rPr>
        <w:t xml:space="preserve">co de que resulte </w:t>
      </w:r>
      <w:proofErr w:type="spellStart"/>
      <w:r>
        <w:rPr>
          <w:rFonts w:ascii="Arial" w:hAnsi="Arial"/>
          <w:color w:val="000000"/>
          <w:lang w:val="pt-BR"/>
        </w:rPr>
        <w:t>dano</w:t>
      </w:r>
      <w:proofErr w:type="spellEnd"/>
      <w:r>
        <w:rPr>
          <w:rFonts w:ascii="Arial" w:hAnsi="Arial"/>
          <w:color w:val="000000"/>
          <w:lang w:val="pt-BR"/>
        </w:rPr>
        <w:t xml:space="preserve"> ao erário, hipóteses em que dará ciência às </w:t>
      </w:r>
      <w:r>
        <w:rPr>
          <w:rFonts w:ascii="Arial" w:hAnsi="Arial"/>
          <w:b/>
          <w:color w:val="000000"/>
          <w:lang w:val="pt-BR"/>
        </w:rPr>
        <w:t>UNIDADES DESCENTRALIZADORAS</w:t>
      </w:r>
      <w:r>
        <w:rPr>
          <w:rFonts w:ascii="Arial" w:hAnsi="Arial"/>
          <w:color w:val="000000"/>
          <w:lang w:val="pt-BR"/>
        </w:rPr>
        <w:t>;</w:t>
      </w:r>
    </w:p>
    <w:p w:rsidR="00D42EE6" w:rsidRDefault="00DD36FA">
      <w:pPr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3.3.9 manter, para fins de controle e fiscalização, a guarda dos documentos originais relativos à execução desse TED, conforme o Manual de Gestão de Documentos </w:t>
      </w:r>
      <w:r>
        <w:rPr>
          <w:sz w:val="24"/>
          <w:szCs w:val="24"/>
        </w:rPr>
        <w:t>do Paraná, aprovado pelo Decreto n.º 3.539, de 2019, ou documento que o venha a substituir.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3.3.10 Comunicar à </w:t>
      </w:r>
      <w:r>
        <w:rPr>
          <w:b/>
          <w:sz w:val="24"/>
          <w:szCs w:val="24"/>
        </w:rPr>
        <w:t xml:space="preserve">UNIDADE DESCENTRALIZADORA </w:t>
      </w:r>
      <w:r>
        <w:rPr>
          <w:sz w:val="24"/>
          <w:szCs w:val="24"/>
        </w:rPr>
        <w:t>a ocorrência de eventos que obstaculizem o cumprimento tempestivo do objeto.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Paragrafo Único. A </w:t>
      </w:r>
      <w:r>
        <w:rPr>
          <w:b/>
          <w:bCs/>
          <w:color w:val="000000"/>
          <w:sz w:val="24"/>
          <w:szCs w:val="24"/>
        </w:rPr>
        <w:t>UNIDADE DESCENTRALIZADA</w:t>
      </w:r>
      <w:r>
        <w:rPr>
          <w:color w:val="000000"/>
          <w:sz w:val="24"/>
          <w:szCs w:val="24"/>
        </w:rPr>
        <w:t xml:space="preserve"> não poderá cobrar qualquer remuneração das </w:t>
      </w:r>
      <w:r>
        <w:rPr>
          <w:b/>
          <w:color w:val="000000"/>
          <w:sz w:val="24"/>
          <w:szCs w:val="24"/>
        </w:rPr>
        <w:t>UNIDADES DESCENTRALIZADORAS</w:t>
      </w:r>
      <w:r>
        <w:rPr>
          <w:color w:val="000000"/>
          <w:sz w:val="24"/>
          <w:szCs w:val="24"/>
        </w:rPr>
        <w:t xml:space="preserve"> pelos serviços prestados em decorrência da descentralização de créditos efetuada nos termos deste TED.</w:t>
      </w:r>
    </w:p>
    <w:p w:rsidR="00D42EE6" w:rsidRDefault="00D42EE6">
      <w:pPr>
        <w:pStyle w:val="Corpodetexto"/>
        <w:spacing w:before="119" w:after="119" w:line="360" w:lineRule="auto"/>
        <w:ind w:left="227"/>
        <w:jc w:val="both"/>
        <w:rPr>
          <w:b/>
          <w:bCs/>
          <w:sz w:val="24"/>
          <w:szCs w:val="24"/>
        </w:rPr>
      </w:pP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CLÁUSULA QUARTA – DA VIGÊNCIA</w:t>
      </w:r>
      <w:r>
        <w:rPr>
          <w:sz w:val="24"/>
          <w:szCs w:val="24"/>
        </w:rPr>
        <w:t xml:space="preserve"> </w:t>
      </w:r>
    </w:p>
    <w:tbl>
      <w:tblPr>
        <w:tblStyle w:val="Tabelacomgrade"/>
        <w:tblW w:w="870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8709"/>
      </w:tblGrid>
      <w:tr w:rsidR="00D42EE6">
        <w:tc>
          <w:tcPr>
            <w:tcW w:w="8709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Nota explicativa 3</w:t>
            </w:r>
            <w:r>
              <w:rPr>
                <w:color w:val="000000"/>
              </w:rPr>
              <w:t xml:space="preserve">: </w:t>
            </w:r>
          </w:p>
          <w:p w:rsidR="00D42EE6" w:rsidRDefault="00D42EE6">
            <w:pPr>
              <w:suppressAutoHyphens w:val="0"/>
              <w:jc w:val="both"/>
              <w:rPr>
                <w:color w:val="000000"/>
              </w:rPr>
            </w:pPr>
          </w:p>
          <w:p w:rsidR="00D42EE6" w:rsidRDefault="00DD36FA">
            <w:pPr>
              <w:pStyle w:val="Corpodetexto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vigência deve ser </w:t>
            </w:r>
            <w:r>
              <w:rPr>
                <w:color w:val="000000"/>
              </w:rPr>
              <w:t>estabelecida em sintonia à consecução do objeto e em função das metas estabelecidas, de modo que, à luz desses parâmetros, justificadamente, poderá ser fixada em 60 meses.</w:t>
            </w:r>
          </w:p>
          <w:p w:rsidR="00D42EE6" w:rsidRDefault="00D42EE6">
            <w:pPr>
              <w:pStyle w:val="Corpodetexto"/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42EE6" w:rsidRDefault="00D42EE6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</w:rPr>
      </w:pP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PT"/>
        </w:rPr>
        <w:lastRenderedPageBreak/>
        <w:t>4</w:t>
      </w:r>
      <w:r>
        <w:rPr>
          <w:rFonts w:ascii="Arial" w:hAnsi="Arial"/>
          <w:lang w:val="pt-BR"/>
        </w:rPr>
        <w:t xml:space="preserve">.1 O presente TED terá vigência de </w:t>
      </w:r>
      <w:proofErr w:type="spellStart"/>
      <w:r>
        <w:rPr>
          <w:rFonts w:ascii="Arial" w:hAnsi="Arial"/>
          <w:shd w:val="clear" w:color="auto" w:fill="FFFF00"/>
          <w:lang w:val="pt-BR"/>
        </w:rPr>
        <w:t>xxxx</w:t>
      </w:r>
      <w:proofErr w:type="spellEnd"/>
      <w:r>
        <w:rPr>
          <w:rFonts w:ascii="Arial" w:hAnsi="Arial"/>
          <w:lang w:val="pt-BR"/>
        </w:rPr>
        <w:t xml:space="preserve"> meses, contados </w:t>
      </w:r>
      <w:r>
        <w:rPr>
          <w:rFonts w:ascii="Arial" w:hAnsi="Arial"/>
          <w:shd w:val="clear" w:color="auto" w:fill="FFFFFF"/>
          <w:lang w:val="pt-BR"/>
        </w:rPr>
        <w:t xml:space="preserve">da publicação do seu </w:t>
      </w:r>
      <w:r>
        <w:rPr>
          <w:rFonts w:ascii="Arial" w:hAnsi="Arial"/>
          <w:shd w:val="clear" w:color="auto" w:fill="FFFFFF"/>
          <w:lang w:val="pt-BR"/>
        </w:rPr>
        <w:t>extrato no Diário Oficial do Estado.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4.2. A vigência do TED poderá ser prorrogada, mediante justificativa, observado o disposto no art. 12 do Decreto nº 11.180, de 2022.</w:t>
      </w:r>
    </w:p>
    <w:p w:rsidR="00D42EE6" w:rsidRDefault="00D42EE6">
      <w:pPr>
        <w:pStyle w:val="Corpodetexto"/>
        <w:spacing w:before="119" w:after="119" w:line="360" w:lineRule="auto"/>
        <w:ind w:left="227"/>
        <w:jc w:val="both"/>
        <w:rPr>
          <w:b/>
          <w:sz w:val="24"/>
          <w:szCs w:val="24"/>
        </w:rPr>
      </w:pP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CLÁUSULA QUINTA – DO CRÉDITO ORÇAMENTÁRIO DESCENTRALIZADO</w:t>
      </w:r>
    </w:p>
    <w:p w:rsidR="00D42EE6" w:rsidRDefault="00DD36FA">
      <w:pPr>
        <w:pStyle w:val="Corpodetexto"/>
        <w:spacing w:before="119" w:after="119" w:line="360" w:lineRule="auto"/>
        <w:ind w:left="227"/>
        <w:rPr>
          <w:sz w:val="24"/>
          <w:szCs w:val="24"/>
        </w:rPr>
      </w:pPr>
      <w:r>
        <w:rPr>
          <w:sz w:val="24"/>
          <w:szCs w:val="24"/>
        </w:rPr>
        <w:t>5.1  Classificação funciona</w:t>
      </w:r>
      <w:r>
        <w:rPr>
          <w:sz w:val="24"/>
          <w:szCs w:val="24"/>
        </w:rPr>
        <w:t xml:space="preserve">l-programática: </w:t>
      </w:r>
      <w:r>
        <w:rPr>
          <w:sz w:val="24"/>
          <w:szCs w:val="24"/>
          <w:shd w:val="clear" w:color="auto" w:fill="FFFF00"/>
        </w:rPr>
        <w:t xml:space="preserve">xxxxxx 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color w:val="000000"/>
        </w:rPr>
      </w:pPr>
      <w:r>
        <w:rPr>
          <w:color w:val="000000"/>
          <w:sz w:val="24"/>
          <w:szCs w:val="24"/>
        </w:rPr>
        <w:t>5.2 As notas de movimentação de crédito serão emitidas após a publicação do termo, com a indicação obrigatória do número de registro do TED no sistema único de execução orçamentária e financeira.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color w:val="000000"/>
        </w:rPr>
      </w:pPr>
      <w:r>
        <w:rPr>
          <w:color w:val="000000"/>
          <w:sz w:val="24"/>
          <w:szCs w:val="24"/>
        </w:rPr>
        <w:t>5.3 As notas de movimentação de créd</w:t>
      </w:r>
      <w:r>
        <w:rPr>
          <w:color w:val="000000"/>
          <w:sz w:val="24"/>
          <w:szCs w:val="24"/>
        </w:rPr>
        <w:t>ito serão renovadas anualmente por meio do sistema único de execução orçamentária e financeira.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color w:val="000000"/>
        </w:rPr>
      </w:pPr>
      <w:r>
        <w:rPr>
          <w:color w:val="000000"/>
          <w:sz w:val="24"/>
          <w:szCs w:val="24"/>
        </w:rPr>
        <w:t>5.4 As informações referentes à execução dos créditos recebidos integrarão as contas anuais da unidade descentralizada a serem apresentadas aos órgãos de contro</w:t>
      </w:r>
      <w:r>
        <w:rPr>
          <w:color w:val="000000"/>
          <w:sz w:val="24"/>
          <w:szCs w:val="24"/>
        </w:rPr>
        <w:t>le, nos termos da legislação.</w:t>
      </w:r>
    </w:p>
    <w:p w:rsidR="00D42EE6" w:rsidRDefault="00D42EE6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</w:rPr>
      </w:pP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CLÁUSULA SEXTA – DO VALOR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6.1.  O presente TED promoverá a descentralização de créditos orçamentários no valor total de R$ XXXXX (</w:t>
      </w:r>
      <w:r>
        <w:rPr>
          <w:sz w:val="24"/>
          <w:szCs w:val="24"/>
          <w:shd w:val="clear" w:color="auto" w:fill="FFFF00"/>
        </w:rPr>
        <w:t>XXXXXX).</w:t>
      </w:r>
    </w:p>
    <w:p w:rsidR="00D42EE6" w:rsidRDefault="00DD36FA">
      <w:pPr>
        <w:pStyle w:val="Corpodetexto"/>
        <w:spacing w:before="119" w:after="119" w:line="360" w:lineRule="auto"/>
        <w:ind w:left="22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6.2. A alteração do valor ao longo do exercício poderá ser realizada por simples apostilamento. </w:t>
      </w:r>
    </w:p>
    <w:p w:rsidR="00D42EE6" w:rsidRDefault="00D42EE6">
      <w:pPr>
        <w:pStyle w:val="Textbody"/>
        <w:spacing w:before="119" w:after="119" w:line="360" w:lineRule="auto"/>
        <w:ind w:left="227"/>
        <w:rPr>
          <w:rFonts w:ascii="Arial" w:hAnsi="Arial"/>
          <w:b/>
          <w:lang w:val="pt-BR"/>
        </w:rPr>
      </w:pPr>
    </w:p>
    <w:p w:rsidR="00D42EE6" w:rsidRDefault="00DD36FA">
      <w:pPr>
        <w:pStyle w:val="Textbody"/>
        <w:spacing w:before="119" w:after="119" w:line="360" w:lineRule="auto"/>
        <w:ind w:left="227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CLÁUSULA SÉTIMA – EXECUÇÃO, ACOMPANHAMENTO E RESULTADO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lastRenderedPageBreak/>
        <w:t>7.1 A execução de programas, de projetos e de atividades será realizada nos termos estabelecidos no TED</w:t>
      </w:r>
      <w:r>
        <w:rPr>
          <w:rFonts w:ascii="Arial" w:hAnsi="Arial"/>
          <w:lang w:val="pt-BR"/>
        </w:rPr>
        <w:t>, observado o plano de trabalho e a classificação funcional programática.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7.2 A execução do TED poderá ser direta, por meio da contratação de particulares ou mediante a celebração de convênios e instrumentos congêneres, observadas normas legais e regulamen</w:t>
      </w:r>
      <w:r>
        <w:rPr>
          <w:rFonts w:ascii="Arial" w:hAnsi="Arial"/>
          <w:lang w:val="pt-BR"/>
        </w:rPr>
        <w:t>tes pertinentes, inclusive a Lei nº 14.133, de 2021, e o Decreto nº 10.086, de 2022.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7.3 Para os fins de monitoramento, avaliação da execução e resultado do TED, as </w:t>
      </w:r>
      <w:bookmarkStart w:id="1" w:name="_Hlk122530130"/>
      <w:r>
        <w:rPr>
          <w:rFonts w:ascii="Arial" w:hAnsi="Arial"/>
          <w:b/>
          <w:lang w:val="pt-BR"/>
        </w:rPr>
        <w:t>UNIDADES DESCENTRALIZADORAS</w:t>
      </w:r>
      <w:r>
        <w:rPr>
          <w:rFonts w:ascii="Arial" w:hAnsi="Arial"/>
          <w:lang w:val="pt-BR"/>
        </w:rPr>
        <w:t xml:space="preserve"> </w:t>
      </w:r>
      <w:bookmarkEnd w:id="1"/>
      <w:r>
        <w:rPr>
          <w:rFonts w:ascii="Arial" w:hAnsi="Arial"/>
          <w:lang w:val="pt-BR"/>
        </w:rPr>
        <w:t>poderão solicitar relatórios parciais e complementares de execução, além de utilizar o apoio técnico das suas unidades finalísticas, firmar parcerias com outros órgãos ou entidades da Administração Pública ou com entidades privadas sem fins lucrativos e re</w:t>
      </w:r>
      <w:r>
        <w:rPr>
          <w:rFonts w:ascii="Arial" w:hAnsi="Arial"/>
          <w:lang w:val="pt-BR"/>
        </w:rPr>
        <w:t xml:space="preserve">alizar visita </w:t>
      </w:r>
      <w:r>
        <w:rPr>
          <w:rFonts w:ascii="Arial" w:hAnsi="Arial"/>
          <w:i/>
          <w:lang w:val="pt-BR"/>
        </w:rPr>
        <w:t>in loco</w:t>
      </w:r>
      <w:r>
        <w:rPr>
          <w:rFonts w:ascii="Arial" w:hAnsi="Arial"/>
          <w:lang w:val="pt-BR"/>
        </w:rPr>
        <w:t>;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7.4 A avaliação dos resultados do TED será feita por meio da análise dos relatórios de cumprimento do objeto, a serem apresentados pela </w:t>
      </w:r>
      <w:r>
        <w:rPr>
          <w:rFonts w:ascii="Arial" w:hAnsi="Arial"/>
          <w:b/>
          <w:color w:val="000000"/>
          <w:lang w:val="pt-BR"/>
        </w:rPr>
        <w:t xml:space="preserve">UNIDADE </w:t>
      </w:r>
      <w:r>
        <w:rPr>
          <w:rFonts w:ascii="Arial" w:hAnsi="Arial"/>
          <w:b/>
          <w:bCs/>
          <w:color w:val="000000"/>
          <w:lang w:val="pt-BR"/>
        </w:rPr>
        <w:t>DESCENTRALIZADA: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a)</w:t>
      </w:r>
      <w:r>
        <w:rPr>
          <w:rFonts w:ascii="Arial" w:hAnsi="Arial"/>
          <w:bCs/>
          <w:color w:val="000000"/>
          <w:lang w:val="pt-BR"/>
        </w:rPr>
        <w:t xml:space="preserve"> no caso do relatório anual, no prazo de cento e vinte dias, contado d</w:t>
      </w:r>
      <w:r>
        <w:rPr>
          <w:rFonts w:ascii="Arial" w:hAnsi="Arial"/>
          <w:bCs/>
          <w:color w:val="000000"/>
          <w:lang w:val="pt-BR"/>
        </w:rPr>
        <w:t>a data do encerramento de cada exercício</w:t>
      </w:r>
      <w:r>
        <w:rPr>
          <w:rFonts w:ascii="Arial" w:hAnsi="Arial"/>
          <w:color w:val="000000"/>
          <w:lang w:val="pt-BR"/>
        </w:rPr>
        <w:t>, contendo os documentos previstos no art. 23 do Decreto nº 11.180, de 2022;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b) </w:t>
      </w:r>
      <w:r>
        <w:rPr>
          <w:rFonts w:ascii="Arial" w:hAnsi="Arial"/>
          <w:bCs/>
          <w:color w:val="000000"/>
          <w:lang w:val="pt-BR"/>
        </w:rPr>
        <w:t>no caso do relatório de conclusão, no prazo de cento e vinte dias, contado da data do encerramento vigência ou da conclusão</w:t>
      </w:r>
      <w:r>
        <w:rPr>
          <w:rFonts w:ascii="Arial" w:hAnsi="Arial"/>
          <w:color w:val="000000"/>
          <w:lang w:val="pt-BR"/>
        </w:rPr>
        <w:t xml:space="preserve"> da execução </w:t>
      </w:r>
      <w:r>
        <w:rPr>
          <w:rFonts w:ascii="Arial" w:hAnsi="Arial"/>
          <w:color w:val="000000"/>
          <w:lang w:val="pt-BR"/>
        </w:rPr>
        <w:t>do objeto, o que ocorrer primeiro, contendo os documentos previstos no art. 23 do Decreto nº 11.180, de 2022.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7.5 Na hipótese de não haver apresentação dos relatórios de cumprimento do objeto nos prazos estabelecidos, as unidades descentralizadoras estabel</w:t>
      </w:r>
      <w:r>
        <w:rPr>
          <w:rFonts w:ascii="Arial" w:hAnsi="Arial"/>
          <w:color w:val="000000"/>
          <w:lang w:val="pt-BR"/>
        </w:rPr>
        <w:t>ecerão o prazo de 30 (trinta) dias para a apresentação do relatório.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7.6 Na hipótese de descumprimento do prazo indicado no item 7.5, as </w:t>
      </w:r>
      <w:r>
        <w:rPr>
          <w:rFonts w:ascii="Arial" w:hAnsi="Arial"/>
          <w:b/>
          <w:lang w:val="pt-BR"/>
        </w:rPr>
        <w:t>UNIDADES DESCENTRALIZADORAS</w:t>
      </w:r>
      <w:r>
        <w:rPr>
          <w:rFonts w:ascii="Arial" w:hAnsi="Arial"/>
          <w:lang w:val="pt-BR"/>
        </w:rPr>
        <w:t xml:space="preserve"> solicitarão à UNIDADE DESCENTRALIZADA a </w:t>
      </w:r>
      <w:r>
        <w:rPr>
          <w:rFonts w:ascii="Arial" w:hAnsi="Arial"/>
          <w:lang w:val="pt-BR"/>
        </w:rPr>
        <w:lastRenderedPageBreak/>
        <w:t>adoção de providências administrativas preliminares</w:t>
      </w:r>
      <w:r>
        <w:rPr>
          <w:rFonts w:ascii="Arial" w:hAnsi="Arial"/>
          <w:lang w:val="pt-BR"/>
        </w:rPr>
        <w:t xml:space="preserve"> e, se for o caso, a instauração de tomada de contas especial, nos termos da Lei 20.656, de 3 de agosto de 2021.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7.7 A análise do relatório de cumprimento do objeto pelas unidades descentralizadoras abrangerá a verificação quanto aos resultados atingidos e</w:t>
      </w:r>
      <w:r>
        <w:rPr>
          <w:rFonts w:ascii="Arial" w:hAnsi="Arial"/>
          <w:lang w:val="pt-BR"/>
        </w:rPr>
        <w:t xml:space="preserve"> o cumprimento do objeto pactuado, cujos critérios constam detalhados no plano de trabalho.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7.8 Recebido o relatório de cumprimento do objeto, as </w:t>
      </w:r>
      <w:r>
        <w:rPr>
          <w:rFonts w:ascii="Arial" w:hAnsi="Arial"/>
          <w:b/>
          <w:color w:val="000000"/>
          <w:lang w:val="pt-BR"/>
        </w:rPr>
        <w:t>UNIDADES DESCENTRALIZADORAS</w:t>
      </w:r>
      <w:r>
        <w:rPr>
          <w:rFonts w:ascii="Arial" w:hAnsi="Arial"/>
          <w:color w:val="000000"/>
          <w:lang w:val="pt-BR"/>
        </w:rPr>
        <w:t>, em até 180 dias, realizarão a análise quanto aos resultados atingidos e cumprimen</w:t>
      </w:r>
      <w:r>
        <w:rPr>
          <w:rFonts w:ascii="Arial" w:hAnsi="Arial"/>
          <w:color w:val="000000"/>
          <w:lang w:val="pt-BR"/>
        </w:rPr>
        <w:t xml:space="preserve">to do objeto, sendo certo que, se julgarem reprovados ou caso identifiquem desvio de recursos ou situação congênere, solicitarão que a </w:t>
      </w:r>
      <w:r>
        <w:rPr>
          <w:rFonts w:ascii="Arial" w:hAnsi="Arial"/>
          <w:b/>
          <w:color w:val="000000"/>
          <w:lang w:val="pt-BR"/>
        </w:rPr>
        <w:t>UNIDADE DESCENTRALIZADA</w:t>
      </w:r>
      <w:r>
        <w:rPr>
          <w:rFonts w:ascii="Arial" w:hAnsi="Arial"/>
          <w:color w:val="000000"/>
          <w:lang w:val="pt-BR"/>
        </w:rPr>
        <w:t xml:space="preserve"> instaure, imediatamente, a tomada de contas especial para apurar os fatos, seus responsáveis e ev</w:t>
      </w:r>
      <w:r>
        <w:rPr>
          <w:rFonts w:ascii="Arial" w:hAnsi="Arial"/>
          <w:color w:val="000000"/>
          <w:lang w:val="pt-BR"/>
        </w:rPr>
        <w:t>entuais danos ao erário.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>7.9 Na hipótese de verificação de indícios de irregularidades durante a execução do TED, as</w:t>
      </w:r>
      <w:r>
        <w:rPr>
          <w:rFonts w:ascii="Arial" w:hAnsi="Arial"/>
          <w:b/>
          <w:bCs/>
          <w:color w:val="000000"/>
          <w:lang w:val="pt-BR"/>
        </w:rPr>
        <w:t xml:space="preserve"> UNIDADES DESCENTRALIZADORAS, </w:t>
      </w:r>
      <w:r>
        <w:rPr>
          <w:rFonts w:ascii="Arial" w:hAnsi="Arial"/>
          <w:color w:val="000000"/>
          <w:lang w:val="pt-BR"/>
        </w:rPr>
        <w:t>por unanimidade</w:t>
      </w:r>
      <w:r>
        <w:rPr>
          <w:rFonts w:ascii="Arial" w:hAnsi="Arial"/>
          <w:b/>
          <w:bCs/>
          <w:color w:val="000000"/>
          <w:lang w:val="pt-BR"/>
        </w:rPr>
        <w:t>,</w:t>
      </w:r>
      <w:r>
        <w:rPr>
          <w:rFonts w:ascii="Arial" w:hAnsi="Arial"/>
          <w:color w:val="000000"/>
          <w:lang w:val="pt-BR"/>
        </w:rPr>
        <w:t xml:space="preserve"> poderão suspender as descentralizações, estabelecendo o prazo de </w:t>
      </w:r>
      <w:r>
        <w:rPr>
          <w:rFonts w:ascii="Arial" w:hAnsi="Arial"/>
          <w:color w:val="000000"/>
          <w:lang w:val="pt-BR"/>
        </w:rPr>
        <w:t>30</w:t>
      </w:r>
      <w:r>
        <w:rPr>
          <w:rFonts w:ascii="Arial" w:hAnsi="Arial"/>
          <w:color w:val="000000"/>
          <w:lang w:val="pt-BR"/>
        </w:rPr>
        <w:t xml:space="preserve"> dias, prorrogável por uma</w:t>
      </w:r>
      <w:r>
        <w:rPr>
          <w:rFonts w:ascii="Arial" w:hAnsi="Arial"/>
          <w:color w:val="000000"/>
          <w:lang w:val="pt-BR"/>
        </w:rPr>
        <w:t xml:space="preserve"> vez, contado da data da suspensão, para que a </w:t>
      </w:r>
      <w:r>
        <w:rPr>
          <w:rFonts w:ascii="Arial" w:hAnsi="Arial"/>
          <w:b/>
          <w:bCs/>
          <w:color w:val="000000"/>
          <w:lang w:val="pt-BR"/>
        </w:rPr>
        <w:t>UNIDADE DESCENTRALIZADA</w:t>
      </w:r>
      <w:r>
        <w:rPr>
          <w:rFonts w:ascii="Arial" w:hAnsi="Arial"/>
          <w:color w:val="000000"/>
          <w:lang w:val="pt-BR"/>
        </w:rPr>
        <w:t xml:space="preserve"> apresente justificativas.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7.10 Após o encerramento do prazo previsto no item 7.</w:t>
      </w:r>
      <w:r>
        <w:rPr>
          <w:rFonts w:ascii="Arial" w:hAnsi="Arial"/>
          <w:lang w:val="pt-BR"/>
        </w:rPr>
        <w:t>9</w:t>
      </w:r>
      <w:r>
        <w:rPr>
          <w:rFonts w:ascii="Arial" w:hAnsi="Arial"/>
          <w:lang w:val="pt-BR"/>
        </w:rPr>
        <w:t xml:space="preserve">, a </w:t>
      </w:r>
      <w:r>
        <w:rPr>
          <w:rFonts w:ascii="Arial" w:hAnsi="Arial"/>
          <w:b/>
          <w:bCs/>
          <w:lang w:val="pt-BR"/>
        </w:rPr>
        <w:t>UNIDADE DESCENTRALIZADORA</w:t>
      </w:r>
      <w:r>
        <w:rPr>
          <w:rFonts w:ascii="Arial" w:hAnsi="Arial"/>
          <w:lang w:val="pt-BR"/>
        </w:rPr>
        <w:t xml:space="preserve"> manifestará o aceite ou rejeição das justificativas apresentadas pela </w:t>
      </w:r>
      <w:r>
        <w:rPr>
          <w:rFonts w:ascii="Arial" w:hAnsi="Arial"/>
          <w:b/>
          <w:bCs/>
          <w:lang w:val="pt-BR"/>
        </w:rPr>
        <w:t>UNIDADE DESCENTRALIZADA</w:t>
      </w:r>
      <w:r>
        <w:rPr>
          <w:rFonts w:ascii="Arial" w:hAnsi="Arial"/>
          <w:lang w:val="pt-BR"/>
        </w:rPr>
        <w:t>, com a fundamentação de sua avaliação e decisão sobre a possibilidade de retomada da execução do objeto ou a rescisão do TED.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7.11 Os saldos dos créditos orçamentários descentralizados e não empenhados serão devolvidos às </w:t>
      </w:r>
      <w:r>
        <w:rPr>
          <w:rFonts w:ascii="Arial" w:hAnsi="Arial"/>
          <w:b/>
          <w:bCs/>
          <w:color w:val="000000"/>
          <w:lang w:val="pt-BR"/>
        </w:rPr>
        <w:t>UNIDADES D</w:t>
      </w:r>
      <w:r>
        <w:rPr>
          <w:rFonts w:ascii="Arial" w:hAnsi="Arial"/>
          <w:b/>
          <w:bCs/>
          <w:color w:val="000000"/>
          <w:lang w:val="pt-BR"/>
        </w:rPr>
        <w:t>ESCENTRALIZADORAS</w:t>
      </w:r>
      <w:r>
        <w:rPr>
          <w:rFonts w:ascii="Arial" w:hAnsi="Arial"/>
          <w:color w:val="000000"/>
          <w:lang w:val="pt-BR"/>
        </w:rPr>
        <w:t xml:space="preserve"> em prazo estabelecido por resolução da Secretaria de Estado da Fazenda para encerramento do exercício financeiro.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proofErr w:type="gramStart"/>
      <w:r>
        <w:rPr>
          <w:rFonts w:ascii="Arial" w:hAnsi="Arial"/>
          <w:lang w:val="pt-BR"/>
        </w:rPr>
        <w:lastRenderedPageBreak/>
        <w:t>7.12  Após</w:t>
      </w:r>
      <w:proofErr w:type="gramEnd"/>
      <w:r>
        <w:rPr>
          <w:rFonts w:ascii="Arial" w:hAnsi="Arial"/>
          <w:lang w:val="pt-BR"/>
        </w:rPr>
        <w:t xml:space="preserve"> o encerramento do TED ou a conclusão da execução do objeto, o que ocorrer primeiro, os créditos orçamentários ser</w:t>
      </w:r>
      <w:r>
        <w:rPr>
          <w:rFonts w:ascii="Arial" w:hAnsi="Arial"/>
          <w:lang w:val="pt-BR"/>
        </w:rPr>
        <w:t>ão devolvidos no prazo de trinta dias, contado da data do encerramento ou da conclusão.</w:t>
      </w:r>
    </w:p>
    <w:p w:rsidR="00D42EE6" w:rsidRDefault="00DD36FA">
      <w:pPr>
        <w:pStyle w:val="Textbody"/>
        <w:spacing w:before="119" w:after="119" w:line="360" w:lineRule="auto"/>
        <w:ind w:left="22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7.13 As disposições do item 7.11 não se aplicam às descentralizações efetivadas após a data estabelecida para encerramento do exercício financeiro, hipótese em que os p</w:t>
      </w:r>
      <w:r>
        <w:rPr>
          <w:rFonts w:ascii="Arial" w:hAnsi="Arial"/>
          <w:lang w:val="pt-BR"/>
        </w:rPr>
        <w:t>artícipes acordarão nova data para a devolução dos créditos.</w:t>
      </w:r>
    </w:p>
    <w:p w:rsidR="00D42EE6" w:rsidRDefault="00DD36FA">
      <w:pPr>
        <w:pStyle w:val="Corpodetexto"/>
        <w:spacing w:before="119" w:after="119" w:line="360" w:lineRule="auto"/>
        <w:ind w:left="227"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CLÁUSULA OITAVA – DAS ALTERAÇÕES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8.1 O TED poderá ser alterado mediante proposta formal e tecnicamente justificada dos partícipes, ou de um deles </w:t>
      </w:r>
      <w:r>
        <w:rPr>
          <w:rFonts w:ascii="Arial" w:hAnsi="Arial"/>
          <w:lang w:val="pt-BR"/>
        </w:rPr>
        <w:t>com a aquiescência do</w:t>
      </w:r>
      <w:r>
        <w:rPr>
          <w:rFonts w:ascii="Arial" w:hAnsi="Arial"/>
          <w:lang w:val="pt-BR"/>
        </w:rPr>
        <w:t xml:space="preserve"> outro, devendo ser respeitada, em qualquer caso, a imutabilidade do objeto inicialmente aprovado.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8.2 As alterações somente poderão ocorrer durante o prazo de vigência do TED e mediante termo aditivo, permitido o termo de apostilamento nos casos que não e</w:t>
      </w:r>
      <w:r>
        <w:rPr>
          <w:rFonts w:ascii="Arial" w:hAnsi="Arial"/>
          <w:color w:val="000000"/>
          <w:lang w:val="pt-BR"/>
        </w:rPr>
        <w:t>nvolverem modificação da vigência do ajuste.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hAnsi="Arial"/>
          <w:color w:val="000000"/>
          <w:lang w:val="pt-BR"/>
        </w:rPr>
        <w:t xml:space="preserve">8.3. Admite-se a juntada de novas </w:t>
      </w:r>
      <w:r>
        <w:rPr>
          <w:rFonts w:ascii="Arial" w:eastAsia="Times New Roman" w:hAnsi="Arial"/>
          <w:color w:val="000000"/>
          <w:lang w:val="pt-BR" w:bidi="ar-SA"/>
        </w:rPr>
        <w:t>nota</w:t>
      </w:r>
      <w:r>
        <w:rPr>
          <w:rFonts w:ascii="Arial" w:hAnsi="Arial"/>
          <w:color w:val="000000"/>
          <w:lang w:val="pt-BR"/>
        </w:rPr>
        <w:t>s</w:t>
      </w:r>
      <w:r>
        <w:rPr>
          <w:rFonts w:ascii="Arial" w:eastAsia="Times New Roman" w:hAnsi="Arial"/>
          <w:color w:val="000000"/>
          <w:lang w:val="pt-BR" w:bidi="ar-SA"/>
        </w:rPr>
        <w:t xml:space="preserve"> de movimentação de crédito e a alteração do valor da descentralização ao longo do exercício financeiro mediante simples apostilamento.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color w:val="000000"/>
        </w:rPr>
      </w:pPr>
      <w:r>
        <w:rPr>
          <w:rFonts w:ascii="Arial" w:eastAsia="Times New Roman" w:hAnsi="Arial"/>
          <w:color w:val="000000"/>
          <w:lang w:val="pt-BR" w:bidi="ar-SA"/>
        </w:rPr>
        <w:t>8.4. A alteração do valor da descent</w:t>
      </w:r>
      <w:r>
        <w:rPr>
          <w:rFonts w:ascii="Arial" w:eastAsia="Times New Roman" w:hAnsi="Arial"/>
          <w:color w:val="000000"/>
          <w:lang w:val="pt-BR" w:bidi="ar-SA"/>
        </w:rPr>
        <w:t>ralização a cada novo exercício será objeto de aditivo.</w:t>
      </w:r>
    </w:p>
    <w:p w:rsidR="00D42EE6" w:rsidRDefault="00D42EE6">
      <w:pPr>
        <w:pStyle w:val="Corpodetexto"/>
        <w:spacing w:before="119" w:after="119" w:line="360" w:lineRule="auto"/>
        <w:ind w:left="283"/>
        <w:jc w:val="both"/>
        <w:rPr>
          <w:b/>
          <w:sz w:val="24"/>
          <w:szCs w:val="24"/>
          <w:lang w:val="pt-BR"/>
        </w:rPr>
      </w:pPr>
    </w:p>
    <w:p w:rsidR="00D42EE6" w:rsidRDefault="00DD36FA">
      <w:pPr>
        <w:pStyle w:val="Corpodetexto"/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NONA – DA DESTINAÇÃO DOS BENS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9.1 Ao final da vigência do respectivo TED, os bens eventualmente adquiridos, produzidos ou construídos em decorrência da descentralização de créditos e os bens</w:t>
      </w:r>
      <w:r>
        <w:rPr>
          <w:rFonts w:ascii="Arial" w:hAnsi="Arial"/>
          <w:lang w:val="pt-BR"/>
        </w:rPr>
        <w:t xml:space="preserve"> remanescentes ficarão sob domínio e titularidade de </w:t>
      </w:r>
      <w:r>
        <w:rPr>
          <w:rFonts w:ascii="Arial" w:hAnsi="Arial"/>
          <w:shd w:val="clear" w:color="auto" w:fill="FFFF00"/>
          <w:lang w:val="pt-BR"/>
        </w:rPr>
        <w:t>XXXXXX.</w:t>
      </w:r>
    </w:p>
    <w:p w:rsidR="00D42EE6" w:rsidRDefault="00D42EE6">
      <w:pPr>
        <w:pStyle w:val="Textbody"/>
        <w:spacing w:before="119" w:after="119" w:line="360" w:lineRule="auto"/>
        <w:ind w:left="283"/>
        <w:jc w:val="both"/>
        <w:rPr>
          <w:shd w:val="clear" w:color="auto" w:fill="FFFF00"/>
          <w:lang w:val="pt-BR"/>
        </w:rPr>
      </w:pPr>
    </w:p>
    <w:p w:rsidR="00D42EE6" w:rsidRDefault="00DD36FA">
      <w:pPr>
        <w:pStyle w:val="Corpodetexto"/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DÉCIMA – DA </w:t>
      </w:r>
      <w:r>
        <w:rPr>
          <w:b/>
          <w:bCs/>
          <w:sz w:val="24"/>
          <w:szCs w:val="24"/>
        </w:rPr>
        <w:t>DENÚNCIA E DA RESCISÃO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10.1 O TED poderá ser denunciado a qualquer tempo</w:t>
      </w:r>
      <w:r>
        <w:rPr>
          <w:sz w:val="24"/>
          <w:szCs w:val="24"/>
          <w:lang w:val="pt-BR"/>
        </w:rPr>
        <w:t xml:space="preserve">, com antecedência mínima de 30 (trinta) dias, objetivando evitar a descontinuidade da prestação de </w:t>
      </w:r>
      <w:r>
        <w:rPr>
          <w:sz w:val="24"/>
          <w:szCs w:val="24"/>
          <w:lang w:val="pt-BR"/>
        </w:rPr>
        <w:t>serviços contemplados no plano de trabalho.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10.2 Na denúncia, os partícipes são responsáveis somente pelas obrigações do período em que participaram voluntariamente da avença.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10.3 A rescisão ocorrerá, após a identificação dos fatos que lhe dão ensejo, nas</w:t>
      </w:r>
      <w:r>
        <w:rPr>
          <w:sz w:val="24"/>
          <w:szCs w:val="24"/>
        </w:rPr>
        <w:t xml:space="preserve"> seguintes hipóteses: 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b) inadimplemento de quaisquer das cláusulas pactuadas;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c) constatação, a qualquer tempo, de irregularidades em sua execução;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d) verificação da ocorrência de qualquer circunstância que enseje a instauração de tomada de contas especia</w:t>
      </w:r>
      <w:r>
        <w:rPr>
          <w:sz w:val="24"/>
          <w:szCs w:val="24"/>
        </w:rPr>
        <w:t>l;</w:t>
      </w:r>
    </w:p>
    <w:p w:rsidR="00D42EE6" w:rsidRDefault="00DD36FA">
      <w:pPr>
        <w:spacing w:before="119" w:after="119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e) a ocorrência de caso fortuito ou de força maior que, mediante comprovação, impeça a execução do objeto.</w:t>
      </w:r>
    </w:p>
    <w:p w:rsidR="00D42EE6" w:rsidRDefault="00DD36FA">
      <w:pPr>
        <w:spacing w:before="119" w:after="119"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 Na denúncia ou rescisão do TED, os créditos orçamentários não executados no objeto serão devolvidos no prazo de 30 (trinta) dias, contado da </w:t>
      </w:r>
      <w:r>
        <w:rPr>
          <w:sz w:val="24"/>
          <w:szCs w:val="24"/>
        </w:rPr>
        <w:t>data de publicação do evento.</w:t>
      </w:r>
    </w:p>
    <w:p w:rsidR="00D42EE6" w:rsidRDefault="00DD36FA">
      <w:pPr>
        <w:spacing w:before="119" w:after="119"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Se houve execução orçamentária e financeira, a </w:t>
      </w:r>
      <w:r>
        <w:rPr>
          <w:b/>
          <w:sz w:val="24"/>
          <w:szCs w:val="24"/>
        </w:rPr>
        <w:t>UNIDADE DESCENTRALIZADORA</w:t>
      </w:r>
      <w:r>
        <w:rPr>
          <w:sz w:val="24"/>
          <w:szCs w:val="24"/>
        </w:rPr>
        <w:t xml:space="preserve"> solicitará a </w:t>
      </w:r>
      <w:r>
        <w:rPr>
          <w:b/>
          <w:sz w:val="24"/>
          <w:szCs w:val="24"/>
        </w:rPr>
        <w:t>UNIDADE DESCENTRALIZADA</w:t>
      </w:r>
      <w:r>
        <w:rPr>
          <w:sz w:val="24"/>
          <w:szCs w:val="24"/>
        </w:rPr>
        <w:t xml:space="preserve"> a apresentação, em até 30 (trinta) dias, do relatório de cumprimento do objeto do TED.</w:t>
      </w:r>
    </w:p>
    <w:p w:rsidR="00D42EE6" w:rsidRDefault="00DD36FA">
      <w:pPr>
        <w:spacing w:before="119" w:after="119"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10.6 Não apresentado o r</w:t>
      </w:r>
      <w:r>
        <w:rPr>
          <w:sz w:val="24"/>
          <w:szCs w:val="24"/>
        </w:rPr>
        <w:t xml:space="preserve">elatório, a </w:t>
      </w:r>
      <w:r>
        <w:rPr>
          <w:b/>
          <w:sz w:val="24"/>
          <w:szCs w:val="24"/>
        </w:rPr>
        <w:t>UNIDADE DESCENTRALIZADORA</w:t>
      </w:r>
      <w:r>
        <w:rPr>
          <w:sz w:val="24"/>
          <w:szCs w:val="24"/>
        </w:rPr>
        <w:t xml:space="preserve"> solicitará a </w:t>
      </w:r>
      <w:r>
        <w:rPr>
          <w:b/>
          <w:sz w:val="24"/>
          <w:szCs w:val="24"/>
        </w:rPr>
        <w:t>UNIDADE DESCENTRALIZADA</w:t>
      </w:r>
      <w:r>
        <w:rPr>
          <w:sz w:val="24"/>
          <w:szCs w:val="24"/>
        </w:rPr>
        <w:t xml:space="preserve"> a apuração imediata dos fatos e, se for o caso, de tomada de contas especial para apurar os responsáveis e eventuais danos ao erário.</w:t>
      </w:r>
    </w:p>
    <w:p w:rsidR="00D42EE6" w:rsidRDefault="00D42EE6">
      <w:pPr>
        <w:spacing w:before="119" w:after="119" w:line="360" w:lineRule="auto"/>
        <w:jc w:val="both"/>
        <w:rPr>
          <w:sz w:val="24"/>
          <w:szCs w:val="24"/>
        </w:rPr>
      </w:pPr>
    </w:p>
    <w:p w:rsidR="00D42EE6" w:rsidRDefault="00DD36FA">
      <w:pPr>
        <w:pStyle w:val="Corpodetexto"/>
        <w:spacing w:before="119" w:after="119" w:line="360" w:lineRule="auto"/>
        <w:ind w:left="283"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CLÁUSULA DÉCIMA PRIMEIRA – DA PUBLICAÇÃO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lastRenderedPageBreak/>
        <w:t xml:space="preserve">11.1 O TED e eventuais termos aditivos serão assinados pelos partícipes e seus extratos serão publicados, sem ônus, na imprensa oficial do Estado e no sítio eletrônico oficial das </w:t>
      </w:r>
      <w:r>
        <w:rPr>
          <w:rFonts w:ascii="Arial" w:hAnsi="Arial"/>
          <w:b/>
          <w:lang w:val="pt-BR"/>
        </w:rPr>
        <w:t>UNIDADES DESCENTRALIZADORAS</w:t>
      </w:r>
      <w:r>
        <w:rPr>
          <w:rFonts w:ascii="Arial" w:hAnsi="Arial"/>
          <w:lang w:val="pt-BR"/>
        </w:rPr>
        <w:t>, no prazo de 20 (vinte) dias, contados da assina</w:t>
      </w:r>
      <w:r>
        <w:rPr>
          <w:rFonts w:ascii="Arial" w:hAnsi="Arial"/>
          <w:lang w:val="pt-BR"/>
        </w:rPr>
        <w:t>tura.</w:t>
      </w: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11.2 Os partícipes disponibilizarão a íntegra do TED celebrado em seus sítios eletrônicos oficiais, no prazo de vinte dias, contados da assinatura.</w:t>
      </w:r>
    </w:p>
    <w:p w:rsidR="00D42EE6" w:rsidRDefault="00D42EE6">
      <w:pPr>
        <w:pStyle w:val="Textbody"/>
        <w:spacing w:before="119" w:after="119" w:line="360" w:lineRule="auto"/>
        <w:ind w:left="283"/>
        <w:jc w:val="both"/>
        <w:rPr>
          <w:rFonts w:ascii="Arial" w:hAnsi="Arial"/>
          <w:strike/>
          <w:color w:val="000000" w:themeColor="text1"/>
          <w:lang w:val="pt-BR"/>
        </w:rPr>
      </w:pPr>
    </w:p>
    <w:p w:rsidR="00D42EE6" w:rsidRDefault="00DD36FA">
      <w:pPr>
        <w:pStyle w:val="Textbody"/>
        <w:spacing w:before="119" w:after="119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color w:val="000000" w:themeColor="text1"/>
          <w:lang w:val="pt-BR"/>
        </w:rPr>
        <w:t>E por estarem de pleno acordo, o TED é assinado, na forma do art. 14 do Decreto nº 11.180, de 2022, p</w:t>
      </w:r>
      <w:r>
        <w:rPr>
          <w:rFonts w:ascii="Arial" w:hAnsi="Arial"/>
          <w:color w:val="000000" w:themeColor="text1"/>
          <w:lang w:val="pt-BR"/>
        </w:rPr>
        <w:t xml:space="preserve">ara que produza os efeitos de Direito, observados os deveres de publicização deste instrumento. </w:t>
      </w:r>
    </w:p>
    <w:p w:rsidR="00D42EE6" w:rsidRDefault="00D42EE6">
      <w:pPr>
        <w:pStyle w:val="Textbody"/>
        <w:spacing w:before="120" w:after="120" w:line="360" w:lineRule="auto"/>
        <w:jc w:val="both"/>
        <w:rPr>
          <w:rFonts w:ascii="Arial" w:hAnsi="Arial"/>
          <w:color w:val="000000" w:themeColor="text1"/>
          <w:lang w:val="pt-BR"/>
        </w:rPr>
      </w:pPr>
    </w:p>
    <w:p w:rsidR="00D42EE6" w:rsidRDefault="00DD36FA">
      <w:pPr>
        <w:pStyle w:val="Textbody"/>
        <w:spacing w:before="120" w:after="120" w:line="360" w:lineRule="auto"/>
        <w:jc w:val="center"/>
        <w:rPr>
          <w:rFonts w:ascii="Arial" w:hAnsi="Arial"/>
          <w:lang w:val="pt-BR"/>
        </w:rPr>
      </w:pPr>
      <w:r>
        <w:rPr>
          <w:rFonts w:ascii="Arial" w:hAnsi="Arial"/>
          <w:color w:val="000000" w:themeColor="text1"/>
          <w:lang w:val="pt-BR"/>
        </w:rPr>
        <w:t>Curitiba, datado eletronicamente.</w:t>
      </w:r>
    </w:p>
    <w:p w:rsidR="00D42EE6" w:rsidRDefault="00D42EE6">
      <w:pPr>
        <w:pStyle w:val="Textbody"/>
        <w:spacing w:before="120" w:after="120" w:line="360" w:lineRule="auto"/>
        <w:jc w:val="both"/>
        <w:rPr>
          <w:rFonts w:ascii="Arial" w:hAnsi="Arial"/>
          <w:lang w:val="pt-BR"/>
        </w:rPr>
      </w:pPr>
    </w:p>
    <w:p w:rsidR="00D42EE6" w:rsidRDefault="00D42EE6">
      <w:pPr>
        <w:pStyle w:val="Textbody"/>
        <w:spacing w:before="120" w:after="120" w:line="360" w:lineRule="auto"/>
        <w:jc w:val="both"/>
        <w:rPr>
          <w:rFonts w:ascii="Arial" w:hAnsi="Arial"/>
          <w:lang w:val="pt-BR"/>
        </w:rPr>
      </w:pPr>
    </w:p>
    <w:p w:rsidR="00D42EE6" w:rsidRDefault="00DD36FA">
      <w:pPr>
        <w:pStyle w:val="Textbody"/>
        <w:spacing w:before="120" w:after="120" w:line="360" w:lineRule="auto"/>
        <w:ind w:left="340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NOME,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  <w:t>NOME</w:t>
      </w:r>
    </w:p>
    <w:p w:rsidR="00D42EE6" w:rsidRDefault="00DD36FA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CARGO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proofErr w:type="spellStart"/>
      <w:r>
        <w:rPr>
          <w:rFonts w:ascii="Arial" w:hAnsi="Arial"/>
          <w:lang w:val="pt-BR"/>
        </w:rPr>
        <w:t>CARGO</w:t>
      </w:r>
      <w:proofErr w:type="spellEnd"/>
    </w:p>
    <w:p w:rsidR="00D42EE6" w:rsidRDefault="00DD36FA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UNIDADE DESCENTRALIZADORA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b/>
          <w:lang w:val="pt-BR"/>
        </w:rPr>
        <w:t>UNIDADE DESCENTRALIZADA</w:t>
      </w:r>
      <w:r>
        <w:br w:type="page"/>
      </w:r>
    </w:p>
    <w:p w:rsidR="00D42EE6" w:rsidRDefault="00D42EE6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D42EE6" w:rsidRDefault="00DD36FA">
      <w:pPr>
        <w:spacing w:line="36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ANEXO I</w:t>
      </w:r>
    </w:p>
    <w:p w:rsidR="00D42EE6" w:rsidRDefault="00DD36FA">
      <w:pPr>
        <w:spacing w:line="36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 xml:space="preserve">UNIDADES DESCENTRALIZADORAS </w:t>
      </w:r>
      <w:r>
        <w:rPr>
          <w:b/>
          <w:color w:val="000000"/>
          <w:sz w:val="24"/>
          <w:szCs w:val="24"/>
          <w:lang w:val="pt-BR"/>
        </w:rPr>
        <w:t>INTEGRANTES DO</w:t>
      </w:r>
      <w:r>
        <w:rPr>
          <w:b/>
          <w:color w:val="000000"/>
          <w:sz w:val="24"/>
          <w:szCs w:val="24"/>
          <w:lang w:val="pt-BR"/>
        </w:rPr>
        <w:t xml:space="preserve"> TED Nº</w:t>
      </w:r>
      <w:r>
        <w:rPr>
          <w:b/>
          <w:color w:val="000000"/>
          <w:sz w:val="24"/>
          <w:szCs w:val="24"/>
          <w:shd w:val="clear" w:color="auto" w:fill="FFFF00"/>
          <w:lang w:val="pt-BR"/>
        </w:rPr>
        <w:t xml:space="preserve"> XXXX/XXXX</w:t>
      </w:r>
      <w:r>
        <w:rPr>
          <w:b/>
          <w:color w:val="000000"/>
          <w:sz w:val="24"/>
          <w:szCs w:val="24"/>
          <w:shd w:val="clear" w:color="auto" w:fill="FFFF00"/>
        </w:rPr>
        <w:t xml:space="preserve"> </w:t>
      </w:r>
    </w:p>
    <w:p w:rsidR="00D42EE6" w:rsidRDefault="00D42EE6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W w:w="89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  <w:gridCol w:w="4526"/>
      </w:tblGrid>
      <w:tr w:rsidR="00D42EE6"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2EE6" w:rsidRDefault="00DD36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 DA UNIDADE DESCENTRALIZADORA E CNPJ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E6" w:rsidRDefault="00DD36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REPRESENTANTE E </w:t>
            </w:r>
            <w:r>
              <w:rPr>
                <w:b/>
                <w:bCs/>
              </w:rPr>
              <w:t>DOCUMENTOS DE IDENTIFICAÇÃO PESSOAL</w:t>
            </w:r>
            <w:r>
              <w:rPr>
                <w:b/>
                <w:bCs/>
              </w:rPr>
              <w:t xml:space="preserve"> (RG E CPF)</w:t>
            </w:r>
          </w:p>
        </w:tc>
      </w:tr>
      <w:tr w:rsidR="00D42EE6">
        <w:tc>
          <w:tcPr>
            <w:tcW w:w="4420" w:type="dxa"/>
            <w:tcBorders>
              <w:left w:val="single" w:sz="2" w:space="0" w:color="000000"/>
              <w:bottom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  <w:tc>
          <w:tcPr>
            <w:tcW w:w="4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</w:tr>
      <w:tr w:rsidR="00D42EE6">
        <w:tc>
          <w:tcPr>
            <w:tcW w:w="4420" w:type="dxa"/>
            <w:tcBorders>
              <w:left w:val="single" w:sz="2" w:space="0" w:color="000000"/>
              <w:bottom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  <w:tc>
          <w:tcPr>
            <w:tcW w:w="4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</w:tr>
      <w:tr w:rsidR="00D42EE6">
        <w:tc>
          <w:tcPr>
            <w:tcW w:w="4420" w:type="dxa"/>
            <w:tcBorders>
              <w:left w:val="single" w:sz="2" w:space="0" w:color="000000"/>
              <w:bottom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  <w:tc>
          <w:tcPr>
            <w:tcW w:w="4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E6" w:rsidRDefault="00D42EE6">
            <w:pPr>
              <w:pStyle w:val="TableContents"/>
            </w:pPr>
          </w:p>
        </w:tc>
      </w:tr>
    </w:tbl>
    <w:p w:rsidR="00D42EE6" w:rsidRDefault="00DD36FA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br w:type="page"/>
      </w:r>
    </w:p>
    <w:p w:rsidR="00D42EE6" w:rsidRDefault="00D42EE6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D42EE6" w:rsidRDefault="00DD36FA">
      <w:pPr>
        <w:spacing w:line="36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ANEXO II</w:t>
      </w:r>
    </w:p>
    <w:p w:rsidR="00D42EE6" w:rsidRDefault="00DD36FA">
      <w:pPr>
        <w:spacing w:line="36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PLANO DE TRABALHO INTEGRANTE AO TED Nº </w:t>
      </w:r>
      <w:r>
        <w:rPr>
          <w:b/>
          <w:color w:val="000000"/>
          <w:sz w:val="24"/>
          <w:szCs w:val="24"/>
          <w:shd w:val="clear" w:color="auto" w:fill="FFFF00"/>
        </w:rPr>
        <w:t>XXXX/XXXX</w:t>
      </w:r>
    </w:p>
    <w:p w:rsidR="00D42EE6" w:rsidRDefault="00D42EE6">
      <w:pPr>
        <w:spacing w:line="360" w:lineRule="auto"/>
        <w:rPr>
          <w:b/>
          <w:color w:val="FF0000"/>
          <w:sz w:val="24"/>
          <w:szCs w:val="24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Nota explicativa 1</w:t>
            </w:r>
            <w:r>
              <w:rPr>
                <w:bCs/>
                <w:color w:val="000000"/>
                <w:sz w:val="18"/>
                <w:szCs w:val="18"/>
              </w:rPr>
              <w:t xml:space="preserve">: (Obs. As notas </w:t>
            </w:r>
            <w:r>
              <w:rPr>
                <w:bCs/>
                <w:color w:val="000000"/>
                <w:sz w:val="18"/>
                <w:szCs w:val="18"/>
              </w:rPr>
              <w:t>explicativas são meramente orientativas. Portanto, devem ser excluídas do edital a ser publicado)</w:t>
            </w:r>
            <w:r>
              <w:rPr>
                <w:bCs/>
                <w:color w:val="000000"/>
                <w:sz w:val="18"/>
                <w:szCs w:val="18"/>
              </w:rPr>
              <w:br/>
              <w:t>O plano de trabalho é peça integrante do TED e especifica as razões para celebração, descrição do objeto, metas e etapas a serem atingidas, plano de aplicação</w:t>
            </w:r>
            <w:r>
              <w:rPr>
                <w:bCs/>
                <w:color w:val="000000"/>
                <w:sz w:val="18"/>
                <w:szCs w:val="18"/>
              </w:rPr>
              <w:t xml:space="preserve"> dos recursos, cronograma de desembolso, prazos de execução e os critérios objetivos de avaliação.</w:t>
            </w:r>
          </w:p>
        </w:tc>
      </w:tr>
    </w:tbl>
    <w:p w:rsidR="00D42EE6" w:rsidRDefault="00D42EE6">
      <w:pPr>
        <w:spacing w:line="360" w:lineRule="auto"/>
        <w:rPr>
          <w:b/>
          <w:color w:val="FF0000"/>
          <w:sz w:val="24"/>
          <w:szCs w:val="24"/>
        </w:rPr>
      </w:pPr>
    </w:p>
    <w:p w:rsidR="00D42EE6" w:rsidRDefault="00D42EE6">
      <w:pPr>
        <w:rPr>
          <w:b/>
          <w:color w:val="000000"/>
          <w:sz w:val="24"/>
          <w:szCs w:val="24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</w:rPr>
        <w:t>I – DADOS DOS PARTÍCIPES</w:t>
      </w:r>
    </w:p>
    <w:p w:rsidR="00D42EE6" w:rsidRDefault="00D42EE6">
      <w:pPr>
        <w:rPr>
          <w:b/>
          <w:color w:val="000000"/>
          <w:sz w:val="18"/>
          <w:szCs w:val="18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4262"/>
        <w:gridCol w:w="1178"/>
        <w:gridCol w:w="66"/>
        <w:gridCol w:w="1135"/>
        <w:gridCol w:w="1252"/>
        <w:gridCol w:w="1044"/>
      </w:tblGrid>
      <w:tr w:rsidR="00D42EE6">
        <w:tc>
          <w:tcPr>
            <w:tcW w:w="6641" w:type="dxa"/>
            <w:gridSpan w:val="4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UNIDADE DESCENTRALIZADORA 1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296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CNPJ/MF</w:t>
            </w:r>
          </w:p>
        </w:tc>
      </w:tr>
      <w:tr w:rsidR="00D42EE6">
        <w:tc>
          <w:tcPr>
            <w:tcW w:w="4262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Endereço:</w:t>
            </w:r>
          </w:p>
          <w:p w:rsidR="00D42EE6" w:rsidRDefault="00D42EE6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4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Município</w:t>
            </w:r>
          </w:p>
        </w:tc>
        <w:tc>
          <w:tcPr>
            <w:tcW w:w="1135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UF</w:t>
            </w:r>
          </w:p>
        </w:tc>
        <w:tc>
          <w:tcPr>
            <w:tcW w:w="1252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CEP:</w:t>
            </w:r>
          </w:p>
        </w:tc>
        <w:tc>
          <w:tcPr>
            <w:tcW w:w="1044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Fone:</w:t>
            </w:r>
          </w:p>
        </w:tc>
      </w:tr>
      <w:tr w:rsidR="00D42EE6">
        <w:tc>
          <w:tcPr>
            <w:tcW w:w="5506" w:type="dxa"/>
            <w:gridSpan w:val="3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Sítio Eletrônico:</w:t>
            </w: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431" w:type="dxa"/>
            <w:gridSpan w:val="3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Endereço Eletrônico:</w:t>
            </w:r>
          </w:p>
        </w:tc>
      </w:tr>
      <w:tr w:rsidR="00D42EE6">
        <w:tc>
          <w:tcPr>
            <w:tcW w:w="8937" w:type="dxa"/>
            <w:gridSpan w:val="6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 xml:space="preserve">Nome do </w:t>
            </w:r>
            <w:r>
              <w:rPr>
                <w:bCs/>
                <w:color w:val="000000"/>
                <w:sz w:val="18"/>
                <w:szCs w:val="18"/>
                <w:lang w:val="pt-BR"/>
              </w:rPr>
              <w:t>Responsável: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D42EE6">
        <w:tc>
          <w:tcPr>
            <w:tcW w:w="5440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Decreto de Nomeação:</w:t>
            </w: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497" w:type="dxa"/>
            <w:gridSpan w:val="4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Cargo:</w:t>
            </w:r>
          </w:p>
        </w:tc>
      </w:tr>
    </w:tbl>
    <w:p w:rsidR="00D42EE6" w:rsidRDefault="00D42EE6">
      <w:pPr>
        <w:rPr>
          <w:b/>
          <w:color w:val="000000"/>
          <w:sz w:val="18"/>
          <w:szCs w:val="18"/>
          <w:lang w:val="pt-BR"/>
        </w:rPr>
      </w:pPr>
    </w:p>
    <w:p w:rsidR="00D42EE6" w:rsidRDefault="00D42EE6">
      <w:pPr>
        <w:rPr>
          <w:b/>
          <w:color w:val="000000"/>
          <w:sz w:val="18"/>
          <w:szCs w:val="18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4262"/>
        <w:gridCol w:w="1178"/>
        <w:gridCol w:w="66"/>
        <w:gridCol w:w="1135"/>
        <w:gridCol w:w="1252"/>
        <w:gridCol w:w="1044"/>
      </w:tblGrid>
      <w:tr w:rsidR="00D42EE6">
        <w:tc>
          <w:tcPr>
            <w:tcW w:w="6641" w:type="dxa"/>
            <w:gridSpan w:val="4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UNIDADE DESCENTRALIZADA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296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CNPJ/MF</w:t>
            </w:r>
          </w:p>
        </w:tc>
      </w:tr>
      <w:tr w:rsidR="00D42EE6">
        <w:tc>
          <w:tcPr>
            <w:tcW w:w="4262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Endereço:</w:t>
            </w:r>
          </w:p>
          <w:p w:rsidR="00D42EE6" w:rsidRDefault="00D42EE6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4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Município</w:t>
            </w:r>
          </w:p>
        </w:tc>
        <w:tc>
          <w:tcPr>
            <w:tcW w:w="1135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UF</w:t>
            </w:r>
          </w:p>
        </w:tc>
        <w:tc>
          <w:tcPr>
            <w:tcW w:w="1252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CEP:</w:t>
            </w:r>
          </w:p>
        </w:tc>
        <w:tc>
          <w:tcPr>
            <w:tcW w:w="1044" w:type="dxa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Fone:</w:t>
            </w:r>
          </w:p>
        </w:tc>
      </w:tr>
      <w:tr w:rsidR="00D42EE6">
        <w:tc>
          <w:tcPr>
            <w:tcW w:w="5506" w:type="dxa"/>
            <w:gridSpan w:val="3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Sítio Eletrônico:</w:t>
            </w: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431" w:type="dxa"/>
            <w:gridSpan w:val="3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Endereço Eletrônico:</w:t>
            </w:r>
          </w:p>
        </w:tc>
      </w:tr>
      <w:tr w:rsidR="00D42EE6">
        <w:tc>
          <w:tcPr>
            <w:tcW w:w="8937" w:type="dxa"/>
            <w:gridSpan w:val="6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Nome do Responsável: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D42EE6">
        <w:tc>
          <w:tcPr>
            <w:tcW w:w="5440" w:type="dxa"/>
            <w:gridSpan w:val="2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Decreto de Nomeação:</w:t>
            </w:r>
          </w:p>
          <w:p w:rsidR="00D42EE6" w:rsidRDefault="00D42EE6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497" w:type="dxa"/>
            <w:gridSpan w:val="4"/>
          </w:tcPr>
          <w:p w:rsidR="00D42EE6" w:rsidRDefault="00DD36FA">
            <w:pPr>
              <w:suppressAutoHyphens w:val="0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Cargo:</w:t>
            </w:r>
          </w:p>
        </w:tc>
      </w:tr>
    </w:tbl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 xml:space="preserve">II – IDENTIFICAÇÃO DO OBJETO A SER </w:t>
      </w:r>
      <w:r>
        <w:rPr>
          <w:b/>
          <w:color w:val="000000"/>
          <w:sz w:val="24"/>
          <w:szCs w:val="24"/>
          <w:lang w:val="pt-BR"/>
        </w:rPr>
        <w:t>EXECUTADO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>III – JUSTIFICATIVA PARA CELEBRAÇÃO DO TED</w:t>
      </w:r>
    </w:p>
    <w:p w:rsidR="00D42EE6" w:rsidRDefault="00D42EE6">
      <w:pPr>
        <w:rPr>
          <w:b/>
          <w:color w:val="000000"/>
          <w:sz w:val="18"/>
          <w:szCs w:val="18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Nota Explicativa 2. 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- Discorrer necessariamente sobre o disposto no Decreto n. 11.180/2022, que “</w:t>
            </w:r>
            <w:r>
              <w:rPr>
                <w:bCs/>
                <w:color w:val="000000"/>
                <w:sz w:val="18"/>
                <w:szCs w:val="18"/>
              </w:rPr>
              <w:t xml:space="preserve">Dispõe sobre o novo Regime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de Execução Orçamentária Descentralizada (REOD) no âmbito dos Orçamentos </w:t>
            </w:r>
            <w:r>
              <w:rPr>
                <w:bCs/>
                <w:color w:val="000000"/>
                <w:sz w:val="18"/>
                <w:szCs w:val="18"/>
              </w:rPr>
              <w:t>Fiscal e da Seguridade Social do Estado do Paraná”.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a necessidade de operacionalizar o SAS com recursos de todas as Pastas.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características gerais do SAS.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outros assuntos que entender relevantes.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</w:tr>
    </w:tbl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IV </w:t>
      </w:r>
      <w:r>
        <w:rPr>
          <w:b/>
          <w:color w:val="000000"/>
          <w:sz w:val="24"/>
          <w:szCs w:val="24"/>
        </w:rPr>
        <w:t>– CRONOGRAMA FÍSICO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Nota Explicativa 3. 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 xml:space="preserve">- Discorrer necessariamente sobre </w:t>
            </w:r>
            <w:r>
              <w:rPr>
                <w:bCs/>
                <w:color w:val="000000"/>
                <w:sz w:val="18"/>
                <w:szCs w:val="18"/>
              </w:rPr>
              <w:t>descrição das metas e dos produtos pactuados, as unidades de medida, a quantidade e os valores unitários e totais;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>- Discorrer necessariamente sobre o quantitativo de contratos cel</w:t>
            </w:r>
            <w:r>
              <w:rPr>
                <w:bCs/>
                <w:color w:val="000000"/>
                <w:sz w:val="18"/>
                <w:szCs w:val="18"/>
                <w:lang w:val="pt-BR"/>
              </w:rPr>
              <w:t>ebrados no âmbito do SAS.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quantitativos médios de servidores atendidos pelo SAS.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metas de atendimentos.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metas de contratos a serem celebrados.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outros assuntos que entender relevantes.</w:t>
            </w:r>
          </w:p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42EE6" w:rsidRDefault="00D42EE6">
      <w:pPr>
        <w:rPr>
          <w:b/>
          <w:color w:val="FF0000"/>
          <w:sz w:val="24"/>
          <w:szCs w:val="24"/>
          <w:lang w:val="pt-BR"/>
        </w:rPr>
      </w:pPr>
    </w:p>
    <w:p w:rsidR="00D42EE6" w:rsidRDefault="00D42EE6">
      <w:pPr>
        <w:rPr>
          <w:b/>
          <w:color w:val="FF0000"/>
          <w:sz w:val="18"/>
          <w:szCs w:val="18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1891"/>
        <w:gridCol w:w="1799"/>
        <w:gridCol w:w="1940"/>
        <w:gridCol w:w="1802"/>
        <w:gridCol w:w="1505"/>
      </w:tblGrid>
      <w:tr w:rsidR="00D42EE6">
        <w:tc>
          <w:tcPr>
            <w:tcW w:w="1891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DESCRIÇÃO DAS METAS E PRODUTOS</w:t>
            </w:r>
          </w:p>
        </w:tc>
        <w:tc>
          <w:tcPr>
            <w:tcW w:w="1799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UNIDADE DE MEDIDA</w:t>
            </w:r>
          </w:p>
        </w:tc>
        <w:tc>
          <w:tcPr>
            <w:tcW w:w="1940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QUANTIDADE</w:t>
            </w:r>
          </w:p>
        </w:tc>
        <w:tc>
          <w:tcPr>
            <w:tcW w:w="1802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VALORES UNITÁRIOS</w:t>
            </w:r>
          </w:p>
        </w:tc>
        <w:tc>
          <w:tcPr>
            <w:tcW w:w="1505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VALORES TOTAIS</w:t>
            </w:r>
          </w:p>
        </w:tc>
      </w:tr>
      <w:tr w:rsidR="00D42EE6">
        <w:tc>
          <w:tcPr>
            <w:tcW w:w="1891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99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40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802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505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D42EE6">
        <w:tc>
          <w:tcPr>
            <w:tcW w:w="1891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99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40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802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505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D42EE6">
        <w:tc>
          <w:tcPr>
            <w:tcW w:w="1891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99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40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802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505" w:type="dxa"/>
          </w:tcPr>
          <w:p w:rsidR="00D42EE6" w:rsidRDefault="00D42EE6">
            <w:pPr>
              <w:suppressAutoHyphens w:val="0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</w:tbl>
    <w:p w:rsidR="00D42EE6" w:rsidRDefault="00D42EE6">
      <w:pPr>
        <w:rPr>
          <w:b/>
          <w:color w:val="FF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>V – OBRIGAÇÕES DAS PARTES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>VI – CRONOGRAMA DE DESEMBOLSO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Nota Explicativa 4. 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bCs/>
                <w:color w:val="000000"/>
                <w:sz w:val="18"/>
                <w:szCs w:val="18"/>
                <w:lang w:val="pt-BR"/>
              </w:rPr>
              <w:t xml:space="preserve">- Discorrer necessariamente sobre os momentos de </w:t>
            </w:r>
            <w:r>
              <w:rPr>
                <w:bCs/>
                <w:color w:val="000000"/>
                <w:sz w:val="18"/>
                <w:szCs w:val="18"/>
                <w:lang w:val="pt-BR"/>
              </w:rPr>
              <w:t>assinaturas de contratos ou aditivos com hospitais.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valores estimados envolvidos.</w:t>
            </w: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Discorrer sobre outros assuntos que entender relevantes.</w:t>
            </w:r>
          </w:p>
          <w:p w:rsidR="00D42EE6" w:rsidRDefault="00D42EE6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18"/>
          <w:szCs w:val="18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1899"/>
        <w:gridCol w:w="1514"/>
        <w:gridCol w:w="2001"/>
        <w:gridCol w:w="1712"/>
        <w:gridCol w:w="1811"/>
      </w:tblGrid>
      <w:tr w:rsidR="00D42EE6">
        <w:tc>
          <w:tcPr>
            <w:tcW w:w="1899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DESCRIÇÃO DA AÇÃO</w:t>
            </w:r>
          </w:p>
        </w:tc>
        <w:tc>
          <w:tcPr>
            <w:tcW w:w="1514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VALOR</w:t>
            </w:r>
          </w:p>
        </w:tc>
        <w:tc>
          <w:tcPr>
            <w:tcW w:w="2001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RESPONSÁVEL</w:t>
            </w:r>
          </w:p>
        </w:tc>
        <w:tc>
          <w:tcPr>
            <w:tcW w:w="1712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INÍCIO</w:t>
            </w:r>
          </w:p>
        </w:tc>
        <w:tc>
          <w:tcPr>
            <w:tcW w:w="1811" w:type="dxa"/>
            <w:shd w:val="clear" w:color="auto" w:fill="DDD9C3" w:themeFill="background2" w:themeFillShade="E6"/>
          </w:tcPr>
          <w:p w:rsidR="00D42EE6" w:rsidRDefault="00DD36FA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TÉRMINO</w:t>
            </w:r>
          </w:p>
        </w:tc>
      </w:tr>
      <w:tr w:rsidR="00D42EE6">
        <w:tc>
          <w:tcPr>
            <w:tcW w:w="1899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14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001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2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811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D42EE6">
        <w:tc>
          <w:tcPr>
            <w:tcW w:w="1899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14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001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2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811" w:type="dxa"/>
          </w:tcPr>
          <w:p w:rsidR="00D42EE6" w:rsidRDefault="00D42EE6">
            <w:pPr>
              <w:suppressAutoHyphens w:val="0"/>
              <w:rPr>
                <w:b/>
                <w:color w:val="000000"/>
                <w:sz w:val="18"/>
                <w:szCs w:val="18"/>
                <w:lang w:val="pt-BR"/>
              </w:rPr>
            </w:pPr>
          </w:p>
        </w:tc>
      </w:tr>
    </w:tbl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Nota Explicativa 5. </w:t>
            </w:r>
          </w:p>
          <w:p w:rsidR="00D42EE6" w:rsidRDefault="00D42EE6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val="pt-BR"/>
              </w:rPr>
            </w:pP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Os </w:t>
            </w:r>
            <w:r>
              <w:rPr>
                <w:bCs/>
                <w:color w:val="000000"/>
                <w:sz w:val="18"/>
                <w:szCs w:val="18"/>
              </w:rPr>
              <w:t>itens acima do Plano de Trabalho são indispensáveis. As partes poderão incluir outros itens, desde que o objeto do TED exija e que não contrarie a legislação vigente.</w:t>
            </w:r>
          </w:p>
          <w:p w:rsidR="00D42EE6" w:rsidRDefault="00D42EE6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42EE6" w:rsidRDefault="00D42EE6">
      <w:pPr>
        <w:rPr>
          <w:b/>
          <w:color w:val="FF0000"/>
          <w:sz w:val="24"/>
          <w:szCs w:val="24"/>
          <w:lang w:val="pt-BR"/>
        </w:rPr>
      </w:pPr>
    </w:p>
    <w:p w:rsidR="00D42EE6" w:rsidRDefault="00D42EE6">
      <w:pPr>
        <w:rPr>
          <w:b/>
          <w:color w:val="FF0000"/>
          <w:sz w:val="24"/>
          <w:szCs w:val="24"/>
          <w:lang w:val="pt-BR"/>
        </w:rPr>
      </w:pPr>
    </w:p>
    <w:p w:rsidR="00D42EE6" w:rsidRDefault="00D42EE6">
      <w:pPr>
        <w:rPr>
          <w:b/>
          <w:color w:val="FF0000"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color w:val="FF0000"/>
          <w:sz w:val="24"/>
          <w:szCs w:val="24"/>
          <w:lang w:val="pt-BR"/>
        </w:rPr>
      </w:pPr>
    </w:p>
    <w:p w:rsidR="00D42EE6" w:rsidRDefault="00DD36FA">
      <w:pPr>
        <w:jc w:val="center"/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>Local, dia, mês, ano.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D36FA">
      <w:pPr>
        <w:rPr>
          <w:color w:val="000000"/>
        </w:rPr>
      </w:pPr>
      <w:r>
        <w:rPr>
          <w:b/>
          <w:color w:val="000000"/>
          <w:sz w:val="24"/>
          <w:szCs w:val="24"/>
          <w:lang w:val="pt-BR"/>
        </w:rPr>
        <w:t>Aprovação:</w:t>
      </w: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tbl>
      <w:tblPr>
        <w:tblStyle w:val="Tabelacomgrade"/>
        <w:tblW w:w="8937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D42EE6">
        <w:tc>
          <w:tcPr>
            <w:tcW w:w="8937" w:type="dxa"/>
            <w:shd w:val="clear" w:color="auto" w:fill="FFFF00"/>
          </w:tcPr>
          <w:p w:rsidR="00D42EE6" w:rsidRDefault="00DD36FA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Nota Explicativa 6. </w:t>
            </w:r>
          </w:p>
          <w:p w:rsidR="00D42EE6" w:rsidRDefault="00D42EE6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val="pt-BR"/>
              </w:rPr>
            </w:pPr>
          </w:p>
          <w:p w:rsidR="00D42EE6" w:rsidRDefault="00DD36FA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o plano de trabalho </w:t>
            </w:r>
            <w:r>
              <w:rPr>
                <w:bCs/>
                <w:color w:val="000000"/>
                <w:sz w:val="18"/>
                <w:szCs w:val="18"/>
              </w:rPr>
              <w:t>deve ser previamente aprovado pela autoridade competente, que poderá se valer de seus setores técnicos para embasar sua decisão, entendendo como tecnicamente viável, ou não, a assinatura do ajuste.</w:t>
            </w:r>
          </w:p>
          <w:p w:rsidR="00D42EE6" w:rsidRDefault="00D42EE6">
            <w:pPr>
              <w:suppressAutoHyphens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color w:val="000000"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D36FA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III</w:t>
      </w:r>
    </w:p>
    <w:p w:rsidR="00D42EE6" w:rsidRDefault="00D42EE6">
      <w:pPr>
        <w:jc w:val="center"/>
        <w:rPr>
          <w:b/>
          <w:sz w:val="24"/>
          <w:szCs w:val="24"/>
          <w:lang w:val="pt-BR"/>
        </w:rPr>
      </w:pPr>
    </w:p>
    <w:p w:rsidR="00D42EE6" w:rsidRDefault="00DD36FA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DECLARAÇÃO </w:t>
      </w:r>
      <w:r>
        <w:rPr>
          <w:b/>
          <w:sz w:val="24"/>
          <w:szCs w:val="24"/>
          <w:lang w:val="pt-BR"/>
        </w:rPr>
        <w:t>DE CAPACIDADE TÉCNICA</w:t>
      </w:r>
    </w:p>
    <w:p w:rsidR="00D42EE6" w:rsidRDefault="00D42EE6">
      <w:pPr>
        <w:spacing w:after="120" w:line="260" w:lineRule="atLeast"/>
        <w:jc w:val="both"/>
        <w:rPr>
          <w:b/>
          <w:sz w:val="24"/>
          <w:szCs w:val="24"/>
          <w:lang w:val="pt-BR"/>
        </w:rPr>
      </w:pPr>
    </w:p>
    <w:p w:rsidR="00D42EE6" w:rsidRDefault="00DD36FA">
      <w:pPr>
        <w:tabs>
          <w:tab w:val="left" w:leader="underscore" w:pos="7938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Eu, </w:t>
      </w:r>
      <w:r>
        <w:rPr>
          <w:rFonts w:cs="Times New Roman"/>
          <w:color w:val="FF0000"/>
          <w:sz w:val="24"/>
          <w:szCs w:val="24"/>
        </w:rPr>
        <w:t>(nome da Autoridade da Unidade Descentralizada)</w:t>
      </w:r>
      <w:r>
        <w:rPr>
          <w:rFonts w:cs="Times New Roman"/>
          <w:sz w:val="24"/>
          <w:szCs w:val="24"/>
        </w:rPr>
        <w:t xml:space="preserve">, CPF n. </w:t>
      </w:r>
      <w:r>
        <w:rPr>
          <w:rFonts w:cs="Times New Roman"/>
          <w:color w:val="FF0000"/>
          <w:sz w:val="24"/>
          <w:szCs w:val="24"/>
        </w:rPr>
        <w:t>(número do CPF)</w:t>
      </w:r>
      <w:r>
        <w:rPr>
          <w:rFonts w:cs="Times New Roman"/>
          <w:sz w:val="24"/>
          <w:szCs w:val="24"/>
        </w:rPr>
        <w:t xml:space="preserve">, ocupante do cargo de </w:t>
      </w:r>
      <w:r>
        <w:rPr>
          <w:rFonts w:cs="Times New Roman"/>
          <w:color w:val="FF0000"/>
          <w:sz w:val="24"/>
          <w:szCs w:val="24"/>
        </w:rPr>
        <w:t>(nomenclatura do cargo da autoridade signatária da declaração)</w:t>
      </w:r>
      <w:r>
        <w:rPr>
          <w:rFonts w:cs="Times New Roman"/>
          <w:i/>
          <w:color w:val="365F91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DECLARO, para fins de comprovação junto  à </w:t>
      </w:r>
      <w:r>
        <w:rPr>
          <w:rFonts w:cs="Times New Roman"/>
          <w:color w:val="FF0000"/>
          <w:sz w:val="24"/>
          <w:szCs w:val="24"/>
        </w:rPr>
        <w:t xml:space="preserve">(nome da Unidade </w:t>
      </w:r>
      <w:r>
        <w:rPr>
          <w:rFonts w:cs="Times New Roman"/>
          <w:color w:val="FF0000"/>
          <w:sz w:val="24"/>
          <w:szCs w:val="24"/>
        </w:rPr>
        <w:t>Descentralizadora)</w:t>
      </w:r>
      <w:r>
        <w:rPr>
          <w:rFonts w:cs="Times New Roman"/>
          <w:sz w:val="24"/>
          <w:szCs w:val="24"/>
        </w:rPr>
        <w:t xml:space="preserve">,  nos termos do inciso II do art. 8 do Decreto n. 11.180, de 23 de maio de 2022, sob as penalidades da lei, que o(a) </w:t>
      </w:r>
      <w:r>
        <w:rPr>
          <w:rFonts w:cs="Times New Roman"/>
          <w:i/>
          <w:color w:val="365F91" w:themeColor="accent1" w:themeShade="BF"/>
          <w:sz w:val="24"/>
          <w:szCs w:val="24"/>
        </w:rPr>
        <w:t>(</w:t>
      </w:r>
      <w:r>
        <w:rPr>
          <w:rFonts w:cs="Times New Roman"/>
          <w:color w:val="FF0000"/>
          <w:sz w:val="24"/>
          <w:szCs w:val="24"/>
        </w:rPr>
        <w:t>nome da Unidade Descentralizada)</w:t>
      </w:r>
      <w:r>
        <w:rPr>
          <w:rFonts w:cs="Times New Roman"/>
          <w:sz w:val="24"/>
          <w:szCs w:val="24"/>
        </w:rPr>
        <w:t>, possui capacidade técnica e competência institucional para executar o objeto proposto</w:t>
      </w:r>
      <w:r>
        <w:rPr>
          <w:rFonts w:cs="Times New Roman"/>
          <w:sz w:val="24"/>
          <w:szCs w:val="24"/>
        </w:rPr>
        <w:t xml:space="preserve"> no Plano de Trabalho para o Termo de Execução Descentralizada - TED n. ____/20____. </w:t>
      </w: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:rsidR="00D42EE6" w:rsidRDefault="00DD36FA">
      <w:pPr>
        <w:pStyle w:val="Textbody"/>
        <w:spacing w:before="120" w:after="120" w:line="360" w:lineRule="auto"/>
        <w:ind w:left="340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NOME,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  <w:t>NOME</w:t>
      </w:r>
    </w:p>
    <w:p w:rsidR="00D42EE6" w:rsidRDefault="00DD36FA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CARGO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proofErr w:type="spellStart"/>
      <w:r>
        <w:rPr>
          <w:rFonts w:ascii="Arial" w:hAnsi="Arial"/>
          <w:lang w:val="pt-BR"/>
        </w:rPr>
        <w:t>CARGO</w:t>
      </w:r>
      <w:proofErr w:type="spellEnd"/>
      <w:r>
        <w:br w:type="page"/>
      </w:r>
    </w:p>
    <w:p w:rsidR="00D42EE6" w:rsidRDefault="00D42EE6">
      <w:pPr>
        <w:jc w:val="center"/>
        <w:rPr>
          <w:rFonts w:cs="Times New Roman"/>
          <w:b/>
        </w:rPr>
      </w:pPr>
    </w:p>
    <w:p w:rsidR="00D42EE6" w:rsidRDefault="00DD36F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ANEXO IV </w:t>
      </w:r>
    </w:p>
    <w:p w:rsidR="00D42EE6" w:rsidRDefault="00D42EE6">
      <w:pPr>
        <w:jc w:val="center"/>
        <w:rPr>
          <w:rFonts w:cs="Times New Roman"/>
          <w:b/>
        </w:rPr>
      </w:pPr>
    </w:p>
    <w:p w:rsidR="00D42EE6" w:rsidRDefault="00DD36FA">
      <w:pPr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DECLARAÇÃO DE COMPATIBILIDADE DE CUSTOS</w:t>
      </w:r>
    </w:p>
    <w:p w:rsidR="00D42EE6" w:rsidRDefault="00D42EE6">
      <w:pPr>
        <w:spacing w:after="120" w:line="260" w:lineRule="atLeast"/>
        <w:ind w:left="360"/>
        <w:jc w:val="center"/>
        <w:rPr>
          <w:rFonts w:cs="Times New Roman"/>
          <w:b/>
          <w:sz w:val="24"/>
          <w:szCs w:val="24"/>
        </w:rPr>
      </w:pPr>
    </w:p>
    <w:p w:rsidR="00D42EE6" w:rsidRDefault="00DD36FA">
      <w:pPr>
        <w:tabs>
          <w:tab w:val="left" w:leader="underscore" w:pos="7938"/>
        </w:tabs>
        <w:spacing w:before="240" w:after="240" w:line="480" w:lineRule="auto"/>
        <w:ind w:left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Eu, </w:t>
      </w:r>
      <w:r>
        <w:rPr>
          <w:rFonts w:cs="Times New Roman"/>
          <w:color w:val="FF0000"/>
          <w:sz w:val="24"/>
          <w:szCs w:val="24"/>
        </w:rPr>
        <w:t>(nome da Autoridade da Unidade Descentralizada)</w:t>
      </w:r>
      <w:r>
        <w:rPr>
          <w:rFonts w:cs="Times New Roman"/>
          <w:sz w:val="24"/>
          <w:szCs w:val="24"/>
        </w:rPr>
        <w:t xml:space="preserve">, CPF n.  </w:t>
      </w:r>
      <w:r>
        <w:rPr>
          <w:rFonts w:cs="Times New Roman"/>
          <w:color w:val="FF0000"/>
          <w:sz w:val="24"/>
          <w:szCs w:val="24"/>
        </w:rPr>
        <w:t>(número do CPF),</w:t>
      </w:r>
      <w:r>
        <w:rPr>
          <w:rFonts w:cs="Times New Roman"/>
          <w:sz w:val="24"/>
          <w:szCs w:val="24"/>
        </w:rPr>
        <w:t xml:space="preserve"> ocupante do cargo de </w:t>
      </w:r>
      <w:r>
        <w:rPr>
          <w:rFonts w:cs="Times New Roman"/>
          <w:color w:val="FF0000"/>
          <w:sz w:val="24"/>
          <w:szCs w:val="24"/>
        </w:rPr>
        <w:t>(nomenclatura do cargo da autoridade signatária da declaração)</w:t>
      </w:r>
      <w:r>
        <w:rPr>
          <w:rFonts w:cs="Times New Roman"/>
          <w:sz w:val="24"/>
          <w:szCs w:val="24"/>
        </w:rPr>
        <w:t xml:space="preserve"> DECLARO, para fins de comprovação junto à </w:t>
      </w:r>
      <w:r>
        <w:rPr>
          <w:rFonts w:cs="Times New Roman"/>
          <w:color w:val="FF0000"/>
          <w:sz w:val="24"/>
          <w:szCs w:val="24"/>
        </w:rPr>
        <w:t>(nome da Unidade Descentralizadora)</w:t>
      </w:r>
      <w:r>
        <w:rPr>
          <w:rFonts w:cs="Times New Roman"/>
          <w:sz w:val="24"/>
          <w:szCs w:val="24"/>
        </w:rPr>
        <w:t>,  nos termos do inciso III do art. 8º do Decreto n. 11.</w:t>
      </w:r>
      <w:r>
        <w:rPr>
          <w:rFonts w:cs="Times New Roman"/>
          <w:sz w:val="24"/>
          <w:szCs w:val="24"/>
        </w:rPr>
        <w:t>180</w:t>
      </w:r>
      <w:r>
        <w:rPr>
          <w:rFonts w:cs="Times New Roman"/>
          <w:sz w:val="24"/>
          <w:szCs w:val="24"/>
        </w:rPr>
        <w:t>, de 23 de maio de 2022, sob as pen</w:t>
      </w:r>
      <w:r>
        <w:rPr>
          <w:rFonts w:cs="Times New Roman"/>
          <w:sz w:val="24"/>
          <w:szCs w:val="24"/>
        </w:rPr>
        <w:t xml:space="preserve">alidades da lei, que os valores dos itens apresentados no Plano de Trabalho para o Termo de Execução Descentralizada - TED n. ____/20___, apresentado pelo(a) </w:t>
      </w:r>
      <w:r>
        <w:rPr>
          <w:rFonts w:cs="Times New Roman"/>
          <w:color w:val="FF0000"/>
          <w:sz w:val="24"/>
          <w:szCs w:val="24"/>
        </w:rPr>
        <w:t>(nome da Unidade Descentralizada)</w:t>
      </w:r>
      <w:r>
        <w:rPr>
          <w:rFonts w:cs="Times New Roman"/>
          <w:sz w:val="24"/>
          <w:szCs w:val="24"/>
        </w:rPr>
        <w:t>, estão aderentes à realidade de execução do objeto proposto.</w:t>
      </w:r>
    </w:p>
    <w:p w:rsidR="00D42EE6" w:rsidRDefault="00DD36FA">
      <w:pPr>
        <w:tabs>
          <w:tab w:val="left" w:leader="underscore" w:pos="7938"/>
        </w:tabs>
        <w:spacing w:before="240" w:after="240" w:line="480" w:lineRule="auto"/>
        <w:ind w:left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DEC</w:t>
      </w:r>
      <w:r>
        <w:rPr>
          <w:rFonts w:cs="Times New Roman"/>
          <w:sz w:val="24"/>
          <w:szCs w:val="24"/>
        </w:rPr>
        <w:t xml:space="preserve">LARO, outrossim, que quaisquer </w:t>
      </w:r>
      <w:r>
        <w:rPr>
          <w:rFonts w:cs="Times New Roman"/>
          <w:sz w:val="24"/>
          <w:szCs w:val="24"/>
        </w:rPr>
        <w:t>despesas</w:t>
      </w:r>
      <w:r>
        <w:rPr>
          <w:rFonts w:cs="Times New Roman"/>
          <w:sz w:val="24"/>
          <w:szCs w:val="24"/>
        </w:rPr>
        <w:t xml:space="preserve"> no âmbito da Unidade Descentralizada para execução do TED, mediante contratação de particulares ou celebração de convênios, acordos, ajustes ou outros instrumentos congêneres deverão ser obrigatoriamente precedidas d</w:t>
      </w:r>
      <w:r>
        <w:rPr>
          <w:rFonts w:cs="Times New Roman"/>
          <w:sz w:val="24"/>
          <w:szCs w:val="24"/>
        </w:rPr>
        <w:t>os procedimentos necessários para apuração da compatibilidade dos preços com os praticados no mercado.</w:t>
      </w:r>
    </w:p>
    <w:p w:rsidR="00D42EE6" w:rsidRDefault="00DD36FA">
      <w:pPr>
        <w:pStyle w:val="Textbody"/>
        <w:spacing w:before="120" w:after="120" w:line="360" w:lineRule="auto"/>
        <w:ind w:left="340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NOME,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  <w:t>NOME</w:t>
      </w:r>
    </w:p>
    <w:p w:rsidR="00D42EE6" w:rsidRDefault="00DD36FA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CARGO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proofErr w:type="spellStart"/>
      <w:r>
        <w:rPr>
          <w:rFonts w:ascii="Arial" w:hAnsi="Arial"/>
          <w:lang w:val="pt-BR"/>
        </w:rPr>
        <w:t>CARGO</w:t>
      </w:r>
      <w:proofErr w:type="spellEnd"/>
    </w:p>
    <w:p w:rsidR="00D42EE6" w:rsidRDefault="00DD36FA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UNIDADE DESCENTRALIZADORA</w:t>
      </w:r>
      <w:r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  <w:b/>
          <w:lang w:val="pt-BR"/>
        </w:rPr>
        <w:t>UNIDADE DESCENTRALIZADA</w:t>
      </w:r>
      <w:r>
        <w:br w:type="page"/>
      </w:r>
    </w:p>
    <w:p w:rsidR="00D42EE6" w:rsidRDefault="00D42EE6">
      <w:pPr>
        <w:pStyle w:val="Textbody"/>
        <w:spacing w:before="120" w:after="120" w:line="360" w:lineRule="auto"/>
        <w:ind w:left="283"/>
        <w:jc w:val="both"/>
        <w:rPr>
          <w:rFonts w:ascii="Arial" w:hAnsi="Arial"/>
          <w:lang w:val="pt-BR"/>
        </w:rPr>
      </w:pPr>
    </w:p>
    <w:p w:rsidR="00D42EE6" w:rsidRDefault="00DD36FA">
      <w:pPr>
        <w:pStyle w:val="Textbody"/>
        <w:spacing w:before="120" w:after="120" w:line="360" w:lineRule="auto"/>
        <w:ind w:left="283"/>
        <w:jc w:val="center"/>
        <w:rPr>
          <w:rFonts w:ascii="Arial" w:hAnsi="Arial"/>
          <w:b/>
          <w:bCs/>
          <w:lang w:val="pt-BR"/>
        </w:rPr>
      </w:pPr>
      <w:r>
        <w:rPr>
          <w:rFonts w:ascii="Arial" w:hAnsi="Arial"/>
          <w:b/>
          <w:bCs/>
          <w:lang w:val="pt-BR"/>
        </w:rPr>
        <w:t>ANEXO V</w:t>
      </w:r>
    </w:p>
    <w:p w:rsidR="00D42EE6" w:rsidRDefault="00DD36FA">
      <w:pPr>
        <w:pStyle w:val="Standard"/>
        <w:tabs>
          <w:tab w:val="left" w:pos="284"/>
        </w:tabs>
        <w:spacing w:after="0" w:line="240" w:lineRule="auto"/>
        <w:ind w:right="-285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LISTA DE VERIFICAÇÃO</w:t>
      </w:r>
    </w:p>
    <w:p w:rsidR="00D42EE6" w:rsidRDefault="00DD36FA">
      <w:pPr>
        <w:pStyle w:val="Standard"/>
        <w:tabs>
          <w:tab w:val="left" w:pos="284"/>
        </w:tabs>
        <w:spacing w:after="0" w:line="240" w:lineRule="auto"/>
        <w:ind w:right="-285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TERMO DE EXECUÇÃO DESCENTRALIZADA</w:t>
      </w:r>
    </w:p>
    <w:p w:rsidR="00D42EE6" w:rsidRDefault="00DD36FA">
      <w:pPr>
        <w:pStyle w:val="Standard"/>
        <w:tabs>
          <w:tab w:val="left" w:pos="284"/>
        </w:tabs>
        <w:spacing w:after="0" w:line="240" w:lineRule="auto"/>
        <w:ind w:right="-285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SEM</w:t>
      </w: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 xml:space="preserve"> REPASSE DE RECURSOS ENTRE UNIDADES DESCENTRALIZADORAS E DESCENTRALIZADAS</w:t>
      </w: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 w:cs="Arial"/>
          <w:sz w:val="24"/>
          <w:szCs w:val="24"/>
        </w:rPr>
      </w:pPr>
    </w:p>
    <w:tbl>
      <w:tblPr>
        <w:tblW w:w="4710" w:type="dxa"/>
        <w:tblInd w:w="4294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D42EE6">
        <w:trPr>
          <w:trHeight w:val="451"/>
        </w:trPr>
        <w:tc>
          <w:tcPr>
            <w:tcW w:w="4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tabs>
                <w:tab w:val="left" w:pos="284"/>
              </w:tabs>
              <w:spacing w:after="0" w:line="240" w:lineRule="auto"/>
              <w:ind w:right="-285"/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Protocolo n.º</w:t>
            </w:r>
          </w:p>
        </w:tc>
      </w:tr>
      <w:tr w:rsidR="00D42EE6">
        <w:trPr>
          <w:trHeight w:val="451"/>
        </w:trPr>
        <w:tc>
          <w:tcPr>
            <w:tcW w:w="4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tabs>
                <w:tab w:val="left" w:pos="284"/>
              </w:tabs>
              <w:snapToGrid w:val="0"/>
              <w:spacing w:after="0" w:line="240" w:lineRule="auto"/>
              <w:ind w:right="-285"/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TED n.º</w:t>
            </w:r>
          </w:p>
        </w:tc>
      </w:tr>
    </w:tbl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tbl>
      <w:tblPr>
        <w:tblW w:w="9015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7080"/>
        <w:gridCol w:w="1295"/>
      </w:tblGrid>
      <w:tr w:rsidR="00D42EE6">
        <w:tc>
          <w:tcPr>
            <w:tcW w:w="90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REQUISITOS GERAIS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que a pessoa que assinará o TED detém competência para este fim específico.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Justificativa acerca dos </w:t>
            </w:r>
            <w:r>
              <w:rPr>
                <w:rFonts w:ascii="Arial" w:hAnsi="Arial" w:cs="Arial"/>
                <w:sz w:val="24"/>
                <w:szCs w:val="24"/>
              </w:rPr>
              <w:t>programas, projetos e atividades ou ainda sobre ressarcimento de despesas.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 quanto a viabilidade do Plano de Trabalho, de acordo com os critérios do art. 9º, §1º, do Decreto nº 11.180, de 2022.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Motivação para a e</w:t>
            </w:r>
            <w:r>
              <w:rPr>
                <w:rFonts w:ascii="Arial" w:hAnsi="Arial" w:cs="Arial"/>
                <w:sz w:val="24"/>
                <w:szCs w:val="24"/>
              </w:rPr>
              <w:t xml:space="preserve">xecução dos créditos orçamentários por outro órgão ou entidade. 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Demonstração de que a unidade descentralizadora e unidade descentralizada possuem competência legal para a execução do objeto.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Aprovação prévia do Plano de Trabalho pelas autoridades competentes. 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da classificação funcional programática à conta da qual ocorrerá a despesa, por meio de certificação orçamentária.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da declaração de compatibilidade de custos dos itens que compõem o plano de trabalho. 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declaração de capacidade técnica da unidade descentralizada.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Adoção da minuta de convênio previamente aprovada</w:t>
            </w:r>
            <w:r>
              <w:rPr>
                <w:rFonts w:ascii="Arial" w:hAnsi="Arial" w:cs="Arial"/>
                <w:sz w:val="24"/>
                <w:szCs w:val="24"/>
              </w:rPr>
              <w:t xml:space="preserve"> pela Procuradoria-Geral do Estado.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Autorização da autoridade competente.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</w:tbl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tbl>
      <w:tblPr>
        <w:tblW w:w="9075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7192"/>
        <w:gridCol w:w="1207"/>
      </w:tblGrid>
      <w:tr w:rsidR="00D42EE6">
        <w:tc>
          <w:tcPr>
            <w:tcW w:w="90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360" w:lineRule="auto"/>
              <w:ind w:right="-28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INFORMAÇÕES ORÇAMENTÁRIAS E FINANCEIRAS</w:t>
            </w:r>
          </w:p>
        </w:tc>
      </w:tr>
      <w:tr w:rsidR="00D42EE6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360" w:lineRule="auto"/>
              <w:ind w:right="-28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360" w:lineRule="auto"/>
              <w:ind w:right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Informação sobre a existência de crédito orçamentário, com saldo suficiente para realizar as despesas prevista no TED 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42EE6">
            <w:pPr>
              <w:pStyle w:val="Contedodatabela"/>
              <w:widowControl w:val="0"/>
              <w:spacing w:after="0" w:line="36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tbl>
      <w:tblPr>
        <w:tblW w:w="9015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7178"/>
        <w:gridCol w:w="1163"/>
      </w:tblGrid>
      <w:tr w:rsidR="00D42EE6">
        <w:tc>
          <w:tcPr>
            <w:tcW w:w="90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REQUISITOS MÍNIMOS DO PLANO DE TRABALHO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objeto;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Justificativa;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 físico</w:t>
            </w:r>
            <w:r>
              <w:rPr>
                <w:rFonts w:ascii="Arial" w:eastAsia="DengXian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 descrição das metas e dos produtos pactuados, as unidades de medida, a quantidade e os valores unitários e totais;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 de desembolso;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aplicação consolidado até o nível de elemento de despesa;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  <w:tr w:rsidR="00D42EE6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7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1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das unidades descentralizadora e descentralizada, com discriminação das unidades gestoras.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2EE6" w:rsidRDefault="00DD36FA">
            <w:pPr>
              <w:pStyle w:val="Contedodatabela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Fls._____</w:t>
            </w:r>
          </w:p>
        </w:tc>
      </w:tr>
    </w:tbl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both"/>
        <w:rPr>
          <w:rFonts w:ascii="Arial" w:eastAsia="Myriad Pro" w:hAnsi="Arial" w:cs="Arial"/>
          <w:sz w:val="24"/>
          <w:szCs w:val="24"/>
        </w:rPr>
      </w:pPr>
    </w:p>
    <w:tbl>
      <w:tblPr>
        <w:tblW w:w="9075" w:type="dxa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9"/>
        <w:gridCol w:w="137"/>
        <w:gridCol w:w="4359"/>
      </w:tblGrid>
      <w:tr w:rsidR="00D42EE6">
        <w:trPr>
          <w:trHeight w:val="283"/>
        </w:trPr>
        <w:tc>
          <w:tcPr>
            <w:tcW w:w="4579" w:type="dxa"/>
            <w:shd w:val="clear" w:color="auto" w:fill="auto"/>
            <w:vAlign w:val="bottom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_____________, ___ de 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_____.</w:t>
            </w:r>
          </w:p>
        </w:tc>
        <w:tc>
          <w:tcPr>
            <w:tcW w:w="137" w:type="dxa"/>
            <w:shd w:val="clear" w:color="auto" w:fill="auto"/>
            <w:vAlign w:val="bottom"/>
          </w:tcPr>
          <w:p w:rsidR="00D42EE6" w:rsidRDefault="00D42EE6">
            <w:pPr>
              <w:pStyle w:val="Standard"/>
              <w:widowControl w:val="0"/>
              <w:snapToGrid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  <w:vAlign w:val="bottom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left="17"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________, ___ de 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_____.</w:t>
            </w:r>
          </w:p>
        </w:tc>
      </w:tr>
      <w:tr w:rsidR="00D42EE6">
        <w:trPr>
          <w:trHeight w:val="521"/>
        </w:trPr>
        <w:tc>
          <w:tcPr>
            <w:tcW w:w="45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left="850" w:right="-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(local)</w:t>
            </w:r>
          </w:p>
        </w:tc>
        <w:tc>
          <w:tcPr>
            <w:tcW w:w="137" w:type="dxa"/>
            <w:shd w:val="clear" w:color="auto" w:fill="auto"/>
          </w:tcPr>
          <w:p w:rsidR="00D42EE6" w:rsidRDefault="00D42EE6">
            <w:pPr>
              <w:pStyle w:val="Standard"/>
              <w:widowControl w:val="0"/>
              <w:snapToGrid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left="-2608"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(local)</w:t>
            </w:r>
          </w:p>
        </w:tc>
      </w:tr>
      <w:tr w:rsidR="00D42EE6">
        <w:trPr>
          <w:trHeight w:val="538"/>
        </w:trPr>
        <w:tc>
          <w:tcPr>
            <w:tcW w:w="4579" w:type="dxa"/>
            <w:tcBorders>
              <w:top w:val="single" w:sz="4" w:space="0" w:color="00000A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[Nome e assinatura do servidor </w:t>
            </w: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responsável pelo preenchimento]</w:t>
            </w:r>
          </w:p>
          <w:p w:rsidR="00D42EE6" w:rsidRDefault="00D42EE6">
            <w:pPr>
              <w:pStyle w:val="Standard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" w:type="dxa"/>
            <w:shd w:val="clear" w:color="auto" w:fill="auto"/>
          </w:tcPr>
          <w:p w:rsidR="00D42EE6" w:rsidRDefault="00D42EE6">
            <w:pPr>
              <w:pStyle w:val="Standard"/>
              <w:widowControl w:val="0"/>
              <w:snapToGrid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EE6" w:rsidRDefault="00D42EE6">
            <w:pPr>
              <w:pStyle w:val="Standard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A"/>
            </w:tcBorders>
            <w:shd w:val="clear" w:color="auto" w:fill="auto"/>
          </w:tcPr>
          <w:p w:rsidR="00D42EE6" w:rsidRDefault="00DD36FA">
            <w:pPr>
              <w:pStyle w:val="Standard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[Nome e assinatura do chefe do setor</w:t>
            </w:r>
          </w:p>
          <w:p w:rsidR="00D42EE6" w:rsidRDefault="00DD36FA">
            <w:pPr>
              <w:pStyle w:val="Standard"/>
              <w:widowControl w:val="0"/>
              <w:spacing w:after="0" w:line="240" w:lineRule="auto"/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competente]</w:t>
            </w:r>
          </w:p>
          <w:p w:rsidR="00D42EE6" w:rsidRDefault="00D42EE6">
            <w:pPr>
              <w:pStyle w:val="Standard"/>
              <w:widowControl w:val="0"/>
              <w:spacing w:after="0" w:line="240" w:lineRule="auto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EE6" w:rsidRDefault="00D42EE6">
      <w:pPr>
        <w:pStyle w:val="Cabealho"/>
        <w:ind w:right="-285"/>
        <w:jc w:val="center"/>
        <w:rPr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  <w:rPr>
          <w:rFonts w:ascii="Arial" w:hAnsi="Arial"/>
          <w:sz w:val="24"/>
          <w:szCs w:val="24"/>
        </w:rPr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</w:pPr>
    </w:p>
    <w:p w:rsidR="00D42EE6" w:rsidRDefault="00D42EE6">
      <w:pPr>
        <w:pStyle w:val="Standard"/>
        <w:tabs>
          <w:tab w:val="left" w:pos="284"/>
        </w:tabs>
        <w:spacing w:after="0" w:line="240" w:lineRule="auto"/>
        <w:ind w:right="-285"/>
        <w:jc w:val="center"/>
      </w:pPr>
    </w:p>
    <w:p w:rsidR="00D42EE6" w:rsidRDefault="00D42EE6">
      <w:pPr>
        <w:pStyle w:val="Textbody"/>
        <w:spacing w:before="120" w:after="120" w:line="360" w:lineRule="auto"/>
        <w:ind w:left="283"/>
        <w:jc w:val="both"/>
      </w:pPr>
    </w:p>
    <w:sectPr w:rsidR="00D42EE6">
      <w:headerReference w:type="default" r:id="rId8"/>
      <w:footerReference w:type="default" r:id="rId9"/>
      <w:pgSz w:w="11906" w:h="16838"/>
      <w:pgMar w:top="2480" w:right="1560" w:bottom="2120" w:left="1400" w:header="278" w:footer="19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FA" w:rsidRDefault="00DD36FA">
      <w:r>
        <w:separator/>
      </w:r>
    </w:p>
  </w:endnote>
  <w:endnote w:type="continuationSeparator" w:id="0">
    <w:p w:rsidR="00DD36FA" w:rsidRDefault="00D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Umbrella">
    <w:altName w:val="Cambria"/>
    <w:charset w:val="00"/>
    <w:family w:val="roman"/>
    <w:pitch w:val="variable"/>
  </w:font>
  <w:font w:name="Myriad Pro">
    <w:altName w:val="Segoe UI"/>
    <w:charset w:val="00"/>
    <w:family w:val="auto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EE6" w:rsidRDefault="00D42EE6">
    <w:pPr>
      <w:pStyle w:val="Corpodetexto"/>
      <w:spacing w:line="0" w:lineRule="atLea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FA" w:rsidRDefault="00DD36FA">
      <w:r>
        <w:separator/>
      </w:r>
    </w:p>
  </w:footnote>
  <w:footnote w:type="continuationSeparator" w:id="0">
    <w:p w:rsidR="00DD36FA" w:rsidRDefault="00D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EE6" w:rsidRDefault="00D42EE6">
    <w:pPr>
      <w:pStyle w:val="Cabealho"/>
      <w:tabs>
        <w:tab w:val="left" w:pos="993"/>
      </w:tabs>
      <w:rPr>
        <w:b/>
        <w:color w:val="262626"/>
        <w:sz w:val="21"/>
        <w:szCs w:val="21"/>
      </w:rPr>
    </w:pPr>
  </w:p>
  <w:p w:rsidR="00D42EE6" w:rsidRDefault="00DD36FA">
    <w:pPr>
      <w:pStyle w:val="Cabealho"/>
      <w:tabs>
        <w:tab w:val="left" w:pos="993"/>
      </w:tabs>
      <w:rPr>
        <w:b/>
        <w:color w:val="262626"/>
        <w:sz w:val="21"/>
        <w:szCs w:val="21"/>
        <w:shd w:val="clear" w:color="auto" w:fill="FFFF00"/>
      </w:rPr>
    </w:pPr>
    <w:r>
      <w:rPr>
        <w:b/>
        <w:noProof/>
        <w:color w:val="262626"/>
        <w:sz w:val="21"/>
        <w:szCs w:val="21"/>
        <w:shd w:val="clear" w:color="auto" w:fill="FFFF00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800225" cy="68770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2EE6" w:rsidRDefault="00D42EE6">
    <w:pPr>
      <w:pStyle w:val="Cabealho"/>
      <w:tabs>
        <w:tab w:val="left" w:pos="993"/>
        <w:tab w:val="left" w:pos="7200"/>
      </w:tabs>
      <w:rPr>
        <w:b/>
        <w:color w:val="262626"/>
        <w:sz w:val="21"/>
        <w:szCs w:val="21"/>
      </w:rPr>
    </w:pPr>
  </w:p>
  <w:p w:rsidR="00D42EE6" w:rsidRDefault="00D42EE6">
    <w:pPr>
      <w:pStyle w:val="Cabealho"/>
      <w:tabs>
        <w:tab w:val="left" w:pos="993"/>
        <w:tab w:val="left" w:pos="7200"/>
      </w:tabs>
      <w:rPr>
        <w:b/>
        <w:color w:val="262626"/>
        <w:sz w:val="21"/>
        <w:szCs w:val="21"/>
      </w:rPr>
    </w:pPr>
  </w:p>
  <w:p w:rsidR="00D42EE6" w:rsidRDefault="00D42EE6">
    <w:pPr>
      <w:pStyle w:val="Cabealho"/>
      <w:tabs>
        <w:tab w:val="left" w:pos="993"/>
        <w:tab w:val="left" w:pos="7200"/>
      </w:tabs>
      <w:jc w:val="center"/>
      <w:rPr>
        <w:b/>
        <w:color w:val="FF0000"/>
        <w:sz w:val="21"/>
        <w:szCs w:val="21"/>
      </w:rPr>
    </w:pPr>
  </w:p>
  <w:p w:rsidR="00D42EE6" w:rsidRDefault="00D42EE6">
    <w:pPr>
      <w:pStyle w:val="Cabealho"/>
      <w:tabs>
        <w:tab w:val="left" w:pos="993"/>
        <w:tab w:val="left" w:pos="7200"/>
      </w:tabs>
      <w:jc w:val="center"/>
      <w:rPr>
        <w:b/>
        <w:color w:val="FF0000"/>
        <w:sz w:val="21"/>
        <w:szCs w:val="21"/>
      </w:rPr>
    </w:pPr>
  </w:p>
  <w:p w:rsidR="00D42EE6" w:rsidRDefault="00D42EE6">
    <w:pPr>
      <w:pStyle w:val="Cabealho"/>
      <w:tabs>
        <w:tab w:val="left" w:pos="993"/>
        <w:tab w:val="left" w:pos="7200"/>
      </w:tabs>
      <w:jc w:val="center"/>
      <w:rPr>
        <w:b/>
        <w:color w:val="FF0000"/>
        <w:sz w:val="21"/>
        <w:szCs w:val="21"/>
      </w:rPr>
    </w:pPr>
  </w:p>
  <w:p w:rsidR="00D42EE6" w:rsidRDefault="00DD36FA">
    <w:pPr>
      <w:pStyle w:val="Cabealho"/>
      <w:tabs>
        <w:tab w:val="left" w:pos="993"/>
        <w:tab w:val="left" w:pos="7200"/>
      </w:tabs>
      <w:jc w:val="center"/>
    </w:pPr>
    <w:r>
      <w:rPr>
        <w:b/>
        <w:color w:val="FF0000"/>
        <w:sz w:val="21"/>
        <w:szCs w:val="21"/>
      </w:rPr>
      <w:t xml:space="preserve">MINUTA PADRÃO – TERMO DE EXECUÇÃO DESCENTRALIZADA – SEM REPASSE DE RECURSOS </w:t>
    </w:r>
    <w:r>
      <w:rPr>
        <w:b/>
        <w:color w:val="FF0000"/>
        <w:sz w:val="21"/>
        <w:szCs w:val="21"/>
      </w:rPr>
      <w:t>FINANCEIROS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267"/>
    <w:multiLevelType w:val="multilevel"/>
    <w:tmpl w:val="A2D8C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166AFB"/>
    <w:multiLevelType w:val="multilevel"/>
    <w:tmpl w:val="CF92B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E6"/>
    <w:rsid w:val="00392E7A"/>
    <w:rsid w:val="00D42EE6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4AF06-BAD5-460B-993E-090F36E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5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A461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A4612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10D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010DF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10DF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10DF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CharacterStyle1">
    <w:name w:val="Character Style 1"/>
    <w:qFormat/>
    <w:rsid w:val="003D74DC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qFormat/>
    <w:rsid w:val="00581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F3771"/>
    <w:rPr>
      <w:color w:val="800080" w:themeColor="followedHyperlink"/>
      <w:u w:val="single"/>
    </w:rPr>
  </w:style>
  <w:style w:type="character" w:customStyle="1" w:styleId="Fontepargpadro1">
    <w:name w:val="Fonte parág. padrão1"/>
    <w:qFormat/>
    <w:rsid w:val="00A317B5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Textbody"/>
    <w:qFormat/>
    <w:rsid w:val="00163E79"/>
    <w:pPr>
      <w:keepNext/>
      <w:widowControl/>
      <w:spacing w:before="240" w:after="120"/>
      <w:textAlignment w:val="baseline"/>
    </w:pPr>
    <w:rPr>
      <w:rFonts w:ascii="Liberation Sans" w:eastAsia="Microsoft YaHei" w:hAnsi="Liberation Sans"/>
      <w:kern w:val="2"/>
      <w:sz w:val="28"/>
      <w:szCs w:val="28"/>
      <w:lang w:val="en-GB" w:eastAsia="zh-CN" w:bidi="hi-IN"/>
    </w:rPr>
  </w:style>
  <w:style w:type="paragraph" w:styleId="PargrafodaLista">
    <w:name w:val="List Paragraph"/>
    <w:basedOn w:val="Normal"/>
    <w:uiPriority w:val="34"/>
    <w:qFormat/>
    <w:pPr>
      <w:spacing w:before="114"/>
      <w:ind w:left="752" w:hanging="53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CabealhoeRodap">
    <w:name w:val="Cabeçalho e Rodapé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rsid w:val="00AA46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A461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010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10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10D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qFormat/>
    <w:rsid w:val="00163E79"/>
    <w:pPr>
      <w:widowControl/>
      <w:spacing w:after="140" w:line="276" w:lineRule="auto"/>
      <w:textAlignment w:val="baseline"/>
    </w:pPr>
    <w:rPr>
      <w:rFonts w:ascii="Liberation Serif" w:eastAsia="NSimSun" w:hAnsi="Liberation Serif"/>
      <w:kern w:val="2"/>
      <w:sz w:val="24"/>
      <w:szCs w:val="24"/>
      <w:lang w:val="en-GB" w:eastAsia="zh-CN" w:bidi="hi-IN"/>
    </w:rPr>
  </w:style>
  <w:style w:type="paragraph" w:customStyle="1" w:styleId="Corpodetexto21">
    <w:name w:val="Corpo de texto 21"/>
    <w:basedOn w:val="Normal"/>
    <w:qFormat/>
    <w:rsid w:val="003D74DC"/>
    <w:pPr>
      <w:widowControl/>
      <w:jc w:val="both"/>
    </w:pPr>
    <w:rPr>
      <w:rFonts w:ascii="Times New Roman" w:eastAsia="Times New Roman" w:hAnsi="Times New Roman" w:cs="Times New Roman"/>
      <w:sz w:val="26"/>
      <w:szCs w:val="20"/>
      <w:lang w:val="pt-BR" w:eastAsia="zh-CN" w:bidi="ar-SA"/>
    </w:rPr>
  </w:style>
  <w:style w:type="paragraph" w:customStyle="1" w:styleId="Recuodecorpodetexto31">
    <w:name w:val="Recuo de corpo de texto 31"/>
    <w:basedOn w:val="Normal"/>
    <w:qFormat/>
    <w:rsid w:val="003D74DC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t-BR" w:eastAsia="zh-CN" w:bidi="ar-SA"/>
    </w:rPr>
  </w:style>
  <w:style w:type="paragraph" w:customStyle="1" w:styleId="Corpodetexto31">
    <w:name w:val="Corpo de texto 31"/>
    <w:basedOn w:val="Normal"/>
    <w:qFormat/>
    <w:rsid w:val="003D74DC"/>
    <w:pPr>
      <w:widowControl/>
      <w:spacing w:line="360" w:lineRule="auto"/>
      <w:jc w:val="both"/>
    </w:pPr>
    <w:rPr>
      <w:rFonts w:eastAsia="Times New Roman"/>
      <w:sz w:val="20"/>
      <w:szCs w:val="20"/>
      <w:lang w:val="pt-BR" w:eastAsia="zh-CN"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rsid w:val="00A317B5"/>
    <w:pPr>
      <w:spacing w:after="200" w:line="276" w:lineRule="auto"/>
    </w:pPr>
    <w:rPr>
      <w:rFonts w:ascii="Calibri" w:eastAsia="Calibri" w:hAnsi="Calibri" w:cs="Calibri"/>
      <w:color w:val="00000A"/>
      <w:kern w:val="2"/>
      <w:sz w:val="22"/>
      <w:lang w:val="pt-BR" w:eastAsia="zh-CN"/>
    </w:rPr>
  </w:style>
  <w:style w:type="paragraph" w:customStyle="1" w:styleId="Contedodatabela">
    <w:name w:val="Conteúdo da tabela"/>
    <w:basedOn w:val="Standard"/>
    <w:qFormat/>
    <w:rsid w:val="00A317B5"/>
    <w:pPr>
      <w:suppressLineNumbers/>
    </w:pPr>
  </w:style>
  <w:style w:type="paragraph" w:customStyle="1" w:styleId="Recuodecorpodetexto1">
    <w:name w:val="Recuo de corpo de texto1"/>
    <w:basedOn w:val="Normal"/>
    <w:semiHidden/>
    <w:qFormat/>
    <w:rsid w:val="00502E7D"/>
    <w:pPr>
      <w:widowControl/>
      <w:spacing w:beforeAutospacing="1" w:afterAutospacing="1" w:line="271" w:lineRule="auto"/>
      <w:jc w:val="center"/>
    </w:pPr>
    <w:rPr>
      <w:rFonts w:ascii="Umbrella" w:eastAsia="Calibri" w:hAnsi="Umbrella" w:cs="Times New Roman"/>
      <w:color w:val="00008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8C0FBA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1EF5"/>
    <w:rPr>
      <w:sz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A5D0-91F5-4969-BD54-358B092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3905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processo.pdf</vt:lpstr>
    </vt:vector>
  </TitlesOfParts>
  <Company>Procuradoria Geral do Estado</Company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processo.pdf</dc:title>
  <dc:subject/>
  <dc:creator>Ultrabook</dc:creator>
  <dc:description/>
  <cp:lastModifiedBy>Viviane Maria de Lara da Silva</cp:lastModifiedBy>
  <cp:revision>2</cp:revision>
  <dcterms:created xsi:type="dcterms:W3CDTF">2023-01-06T17:47:00Z</dcterms:created>
  <dcterms:modified xsi:type="dcterms:W3CDTF">2023-01-06T17:47:00Z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HyperlinksChanged">
    <vt:bool>false</vt:bool>
  </property>
  <property fmtid="{D5CDD505-2E9C-101B-9397-08002B2CF9AE}" pid="4" name="LastSaved">
    <vt:filetime>2020-09-25T00:00:00Z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