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D2A2" w14:textId="77777777" w:rsidR="002B11E2" w:rsidRDefault="002B11E2">
      <w:pPr>
        <w:rPr>
          <w:rFonts w:ascii="Arial" w:eastAsia="Arial" w:hAnsi="Arial" w:cs="Arial"/>
          <w:sz w:val="24"/>
          <w:szCs w:val="24"/>
        </w:rPr>
      </w:pPr>
    </w:p>
    <w:p w14:paraId="0F575DA8" w14:textId="77777777" w:rsidR="002B11E2" w:rsidRDefault="004619CE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0" w:line="240" w:lineRule="auto"/>
        <w:ind w:right="108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LISTA DE VERIFICAÇÃO</w:t>
      </w:r>
    </w:p>
    <w:p w14:paraId="25B0B07A" w14:textId="77777777" w:rsidR="002B11E2" w:rsidRDefault="004619CE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0" w:line="240" w:lineRule="auto"/>
        <w:ind w:right="108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PROCESSO SELETIVO SIMPLIFICADO - PROCEDIMENTO</w:t>
      </w:r>
    </w:p>
    <w:p w14:paraId="066F05E0" w14:textId="77777777" w:rsidR="002B11E2" w:rsidRDefault="002B11E2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4875" w:type="dxa"/>
        <w:jc w:val="center"/>
        <w:tblLayout w:type="fixed"/>
        <w:tblLook w:val="0400" w:firstRow="0" w:lastRow="0" w:firstColumn="0" w:lastColumn="0" w:noHBand="0" w:noVBand="1"/>
      </w:tblPr>
      <w:tblGrid>
        <w:gridCol w:w="4875"/>
      </w:tblGrid>
      <w:tr w:rsidR="002B11E2" w14:paraId="17ED3E00" w14:textId="77777777">
        <w:trPr>
          <w:trHeight w:val="300"/>
          <w:jc w:val="center"/>
        </w:trPr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115C6" w14:textId="77777777" w:rsidR="002B11E2" w:rsidRDefault="004619CE">
            <w:pPr>
              <w:shd w:val="clear" w:color="auto" w:fill="FFFFFF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Protocolo nº:</w:t>
            </w:r>
          </w:p>
        </w:tc>
      </w:tr>
    </w:tbl>
    <w:p w14:paraId="03703D3A" w14:textId="77777777" w:rsidR="002B11E2" w:rsidRDefault="002B11E2">
      <w:pPr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678"/>
        <w:gridCol w:w="1134"/>
        <w:gridCol w:w="1276"/>
        <w:gridCol w:w="2693"/>
      </w:tblGrid>
      <w:tr w:rsidR="002B11E2" w14:paraId="3DBD61C0" w14:textId="77777777">
        <w:trPr>
          <w:trHeight w:val="584"/>
        </w:trPr>
        <w:tc>
          <w:tcPr>
            <w:tcW w:w="10348" w:type="dxa"/>
            <w:gridSpan w:val="5"/>
            <w:tcBorders>
              <w:bottom w:val="single" w:sz="8" w:space="0" w:color="000000"/>
            </w:tcBorders>
            <w:shd w:val="clear" w:color="auto" w:fill="000000"/>
          </w:tcPr>
          <w:p w14:paraId="03E98888" w14:textId="77777777" w:rsidR="002B11E2" w:rsidRDefault="002B11E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276E33" w14:textId="77777777" w:rsidR="002B11E2" w:rsidRDefault="004619C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REQUISITOS OBRIGATÓRIOS</w:t>
            </w:r>
          </w:p>
          <w:p w14:paraId="50BB551F" w14:textId="77777777" w:rsidR="002B11E2" w:rsidRDefault="002B11E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B11E2" w14:paraId="4AB10E2F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BD446" w14:textId="77777777" w:rsidR="002B11E2" w:rsidRDefault="002B11E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B4CE2" w14:textId="77777777" w:rsidR="002B11E2" w:rsidRDefault="004619C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15092" w14:textId="77777777" w:rsidR="002B11E2" w:rsidRDefault="004619C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CBC0B" w14:textId="77777777" w:rsidR="002B11E2" w:rsidRDefault="004619C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MOV.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6C504" w14:textId="77777777" w:rsidR="002B11E2" w:rsidRDefault="004619C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OBSERVAÇÃO</w:t>
            </w:r>
          </w:p>
        </w:tc>
      </w:tr>
      <w:tr w:rsidR="002B11E2" w14:paraId="77639625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9F1DA" w14:textId="77777777" w:rsidR="002B11E2" w:rsidRDefault="004619C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FE454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HIPÓTESE LEGAL PARA CONTRATAÇÃO </w:t>
            </w:r>
          </w:p>
          <w:p w14:paraId="582743D4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(ART. 2º, LC 108/2005 -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INDICAR QUAL O INCISO NO CAMPO “OBSERVAÇÃO”)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209A2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8217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3781C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599244D3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8410B0" w14:textId="77777777" w:rsidR="002B11E2" w:rsidRDefault="004619C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10488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ESPÉCIE – PRÓPRIA OU VINCULADA A CONVÊNIO/TERMO DE COOPERAÇÃO </w:t>
            </w:r>
          </w:p>
          <w:p w14:paraId="7397B204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(ART. 6º, § 1º, LC 108/2005 -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INDICAR QUAL A ESPÉCIE NO CAMPO “OBSERVAÇÃO”)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9530C7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CF65D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045733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</w:tr>
      <w:tr w:rsidR="002B11E2" w14:paraId="0B66B11D" w14:textId="7777777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6731E3" w14:textId="77777777" w:rsidR="002B11E2" w:rsidRDefault="004619C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</w:p>
          <w:p w14:paraId="20F1A623" w14:textId="77777777" w:rsidR="002B11E2" w:rsidRDefault="002B11E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17F49EE" w14:textId="77777777" w:rsidR="002B11E2" w:rsidRDefault="002B11E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418A9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OFÍCIO DO SECRETÁRIO DO ESTADO</w:t>
            </w:r>
          </w:p>
          <w:p w14:paraId="3E72E622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(ART. 6º, LC 108/2005)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37EEA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8CBAD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A5835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:rsidRPr="00A103D9" w14:paraId="2C2EE574" w14:textId="7777777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A5606D" w14:textId="77777777" w:rsidR="002B11E2" w:rsidRDefault="002B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12CF5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DA CONTRATAÇÃO</w:t>
            </w:r>
          </w:p>
          <w:p w14:paraId="2CD69A7B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(ART. 6º, §2º, I, LC 108/2005 / </w:t>
            </w:r>
          </w:p>
          <w:p w14:paraId="3FF1349B" w14:textId="77777777" w:rsidR="002B11E2" w:rsidRPr="00A103D9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103D9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ART. 2º, I, DEC. 4.512/2009 / </w:t>
            </w:r>
          </w:p>
          <w:p w14:paraId="237BE292" w14:textId="77777777" w:rsidR="002B11E2" w:rsidRPr="00A103D9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103D9">
              <w:rPr>
                <w:rFonts w:ascii="Arial" w:eastAsia="Arial" w:hAnsi="Arial" w:cs="Arial"/>
                <w:sz w:val="24"/>
                <w:szCs w:val="24"/>
                <w:lang w:val="en-US"/>
              </w:rPr>
              <w:t>RE 658.026)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FC0B8" w14:textId="77777777" w:rsidR="002B11E2" w:rsidRPr="00A103D9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15034" w14:textId="77777777" w:rsidR="002B11E2" w:rsidRPr="00A103D9" w:rsidRDefault="002B11E2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E89F1" w14:textId="77777777" w:rsidR="002B11E2" w:rsidRPr="00A103D9" w:rsidRDefault="002B11E2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B11E2" w:rsidRPr="00A103D9" w14:paraId="448B67A0" w14:textId="7777777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255335" w14:textId="77777777" w:rsidR="002B11E2" w:rsidRPr="00A103D9" w:rsidRDefault="002B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5D759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CARACTERIZAÇÃO DA TEMPORARIEDADE – PRAZO DA CONTRATAÇÃO</w:t>
            </w:r>
          </w:p>
          <w:p w14:paraId="2A532290" w14:textId="77777777" w:rsidR="002B11E2" w:rsidRPr="00A103D9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103D9">
              <w:rPr>
                <w:rFonts w:ascii="Arial" w:eastAsia="Arial" w:hAnsi="Arial" w:cs="Arial"/>
                <w:sz w:val="24"/>
                <w:szCs w:val="24"/>
                <w:lang w:val="en-US"/>
              </w:rPr>
              <w:t>(ART. 6º, §2º, II, LC 108/2005 / ART. 2º, II, DEC. 4.512/2009 / RE 658.026)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1AEC0" w14:textId="77777777" w:rsidR="002B11E2" w:rsidRPr="00A103D9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DDAF" w14:textId="77777777" w:rsidR="002B11E2" w:rsidRPr="00A103D9" w:rsidRDefault="002B11E2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A458F" w14:textId="77777777" w:rsidR="002B11E2" w:rsidRPr="00A103D9" w:rsidRDefault="002B11E2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B11E2" w14:paraId="05558730" w14:textId="7777777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133573" w14:textId="77777777" w:rsidR="002B11E2" w:rsidRPr="00A103D9" w:rsidRDefault="002B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4BD5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IMPRESCINDIBILIDADE DA CONTRATAÇÃO</w:t>
            </w:r>
          </w:p>
          <w:p w14:paraId="3DC7CFB2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(RE 658.026)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7A4AD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5567E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EADA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42913E95" w14:textId="7777777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2FF5AF" w14:textId="77777777" w:rsidR="002B11E2" w:rsidRDefault="002B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0BB8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DEMONSTRAÇÃO DE QUE NÃO SE TRATA DE SERVIÇO ORDINÁRIO, PERMANENTE, E CONSIDERADO COMO CONTINGÊNCIA NORMAL - IMPREVISIBILIDADE</w:t>
            </w:r>
          </w:p>
          <w:p w14:paraId="015B8730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(RE 658.026)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DDAEF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4D9E4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7E7B7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234CBE7C" w14:textId="7777777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1AB192" w14:textId="77777777" w:rsidR="002B11E2" w:rsidRDefault="002B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B06E7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PECULIARIDA</w:t>
            </w:r>
            <w:r>
              <w:rPr>
                <w:rFonts w:ascii="Arial" w:eastAsia="Arial" w:hAnsi="Arial" w:cs="Arial"/>
                <w:color w:val="000001"/>
                <w:sz w:val="24"/>
                <w:szCs w:val="24"/>
              </w:rPr>
              <w:t>DES DAS FUNÇÕES – QUANTITATIVO TOTAL DE PESSOAL INDISPENSÁVEL, 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EMUNERAÇÃO E JORNADA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(ART. 6º, §2º, III, LC 108/2005 / ART. 2º, III, DEC. 4.512/2009)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B617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A7907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1F83C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118DC4F7" w14:textId="7777777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3466B9" w14:textId="77777777" w:rsidR="002B11E2" w:rsidRDefault="002B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5B294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ORIGEM 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AS VAGAS, NAS HIPÓTESES DE SERVIÇOS ORDINÁRIOS PERMANENTES – EDUCAÇÃO, SAÚDE E SEGURANÇA</w:t>
            </w:r>
          </w:p>
          <w:p w14:paraId="55B0BCC5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(ART. 2º, §1º, LC 108/20</w:t>
            </w:r>
            <w:r>
              <w:rPr>
                <w:rFonts w:ascii="Arial" w:eastAsia="Arial" w:hAnsi="Arial" w:cs="Arial"/>
                <w:sz w:val="24"/>
                <w:szCs w:val="24"/>
              </w:rPr>
              <w:t>05)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6A5B5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01048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D79FE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718EAF9E" w14:textId="7777777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C9FA58" w14:textId="77777777" w:rsidR="002B11E2" w:rsidRDefault="002B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C7CE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 CASO DE VACÂNCIA: INFORMAÇÕES SOBRE A EXISTÊNCIA OU REALIZAÇÃO DE CONCURSO PÚBLICO</w:t>
            </w:r>
          </w:p>
          <w:p w14:paraId="461EE867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(ART. 2º, §2º, LC 108/2005)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68499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99882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C6C2C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:rsidRPr="00A103D9" w14:paraId="75EC52FA" w14:textId="7777777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F44639" w14:textId="77777777" w:rsidR="002B11E2" w:rsidRDefault="002B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6BC10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ESTIMATIVA DE CUSTOS DA CONTRATAÇÃO, A ORIGEM E A DISPONIBILIDADE DOS RECURSOS FINANCEIROS E ORÇAMENTÁRIOS NECESSÁRIOS ÀS CONTRATAÇÕES</w:t>
            </w:r>
          </w:p>
          <w:p w14:paraId="7DD9BD53" w14:textId="77777777" w:rsidR="002B11E2" w:rsidRPr="00A103D9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103D9">
              <w:rPr>
                <w:rFonts w:ascii="Arial" w:eastAsia="Arial" w:hAnsi="Arial" w:cs="Arial"/>
                <w:sz w:val="24"/>
                <w:szCs w:val="24"/>
                <w:lang w:val="en-US"/>
              </w:rPr>
              <w:t>(ART. 6º, §2º, IV, LC 108/2005 / ART. 2º, IV, V E VI, DEC. 4.512/2009)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121C0" w14:textId="77777777" w:rsidR="002B11E2" w:rsidRPr="00A103D9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7B52" w14:textId="77777777" w:rsidR="002B11E2" w:rsidRPr="00A103D9" w:rsidRDefault="002B11E2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D7F3" w14:textId="77777777" w:rsidR="002B11E2" w:rsidRPr="00A103D9" w:rsidRDefault="002B11E2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B11E2" w14:paraId="54C2CF53" w14:textId="7777777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382886" w14:textId="77777777" w:rsidR="002B11E2" w:rsidRPr="00A103D9" w:rsidRDefault="002B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75F24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DE ADEQUAÇÃO DA DESPESA</w:t>
            </w:r>
          </w:p>
          <w:p w14:paraId="0589C658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(ART. 33, II,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, DEC. 3.169/2019)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ABE6A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7B4F0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51928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48201909" w14:textId="7777777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87B0B" w14:textId="77777777" w:rsidR="002B11E2" w:rsidRDefault="004619C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53150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INFORMAÇÃO TÉCNICA DA SEAP</w:t>
            </w:r>
          </w:p>
          <w:p w14:paraId="36317526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(ART. 6º, §2º, V,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 LC 108/2005)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7F74B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6AC7A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936897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0E24C282" w14:textId="7777777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D403F" w14:textId="77777777" w:rsidR="002B11E2" w:rsidRDefault="002B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6596D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DE IMPOSSIBILIDADE DE REMANEJAMENTO INTERNO</w:t>
            </w:r>
          </w:p>
          <w:p w14:paraId="19E16857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(ART. 3º, §1º, DEC. 4.512/2009)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C9EDA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71BD1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92D5E7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3FAD1507" w14:textId="7777777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6A28F" w14:textId="77777777" w:rsidR="002B11E2" w:rsidRDefault="004619C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71DAB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INFORMAÇÃO TÉCNICA DA SEFA</w:t>
            </w:r>
          </w:p>
          <w:p w14:paraId="5299FB2B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(ART. 6º, §2º, V,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, LC 108/2005)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767C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F7965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0E564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3FB9FEA6" w14:textId="7777777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965D" w14:textId="77777777" w:rsidR="002B11E2" w:rsidRDefault="002B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7268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DISPONIBILIDADE DE RECURSOS FINANCEIROS PARA COBRIR A DESPESA</w:t>
            </w:r>
          </w:p>
          <w:p w14:paraId="10BEED1B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(ART. 3º, § 2º, DEC. 4.512/2009)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AD8E3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F3928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09250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4DB26408" w14:textId="7777777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AFC3F" w14:textId="77777777" w:rsidR="002B11E2" w:rsidRDefault="002B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BE3D6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LIMITES DA LRF</w:t>
            </w:r>
          </w:p>
          <w:p w14:paraId="1C40789D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(ART. 3º, § 2º, DEC. 4.512/2009)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FD9DA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7097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D1604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0D330E2C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52CF" w14:textId="77777777" w:rsidR="002B11E2" w:rsidRDefault="004619C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9A91D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DELIBERAÇÃO DA COMISSÃO DE POLÍTICA SALARIAL</w:t>
            </w:r>
          </w:p>
          <w:p w14:paraId="6039962C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(ART. 33, IV, DEC. 3.169/2019)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3119E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7A8FF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B2D3B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4E1B96AB" w14:textId="7777777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6A60" w14:textId="77777777" w:rsidR="002B11E2" w:rsidRDefault="004619C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CE26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INFORMAÇÃO TÉCNICA DA SEPL</w:t>
            </w:r>
          </w:p>
          <w:p w14:paraId="63656996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(ART. 6º, §2º, V,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, LC 108/2005)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7AE8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7E0D5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94152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39DE64C0" w14:textId="7777777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FA96" w14:textId="77777777" w:rsidR="002B11E2" w:rsidRDefault="002B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0583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ORÇAMENTO</w:t>
            </w:r>
          </w:p>
          <w:p w14:paraId="24F95533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(ART. 3º, § 2º, DEC. 4.512/2009)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63A81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2A72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5178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734C0072" w14:textId="7777777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F2D7" w14:textId="77777777" w:rsidR="002B11E2" w:rsidRDefault="002B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FFAD2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PROGRAMAÇÃO</w:t>
            </w:r>
          </w:p>
          <w:p w14:paraId="65B62686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(ART. 3º, § 2º, DEC. 4.512/2009)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D386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F844A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2BEBB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14:paraId="2DD7463B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A0090" w14:textId="77777777" w:rsidR="002B11E2" w:rsidRDefault="004619C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46490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DESPACHO</w:t>
            </w:r>
          </w:p>
          <w:p w14:paraId="2282B065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GOVERNAMENTAL</w:t>
            </w:r>
          </w:p>
          <w:p w14:paraId="0AB5E27E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(ART. 1º, DEC. 4.512/2009)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EC067" w14:textId="77777777" w:rsidR="002B11E2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83E4E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1F29" w14:textId="77777777" w:rsidR="002B11E2" w:rsidRDefault="002B1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E2" w:rsidRPr="00A103D9" w14:paraId="1B93DCF5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E1336" w14:textId="77777777" w:rsidR="002B11E2" w:rsidRDefault="004619C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C6EC" w14:textId="77777777" w:rsidR="002B11E2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PUBLICAÇÃO DO DESPACHO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GOVERNAMENTAL NO DIOE</w:t>
            </w:r>
          </w:p>
          <w:p w14:paraId="2A933071" w14:textId="77777777" w:rsidR="002B11E2" w:rsidRPr="00A103D9" w:rsidRDefault="004619C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103D9">
              <w:rPr>
                <w:rFonts w:ascii="Arial" w:eastAsia="Arial" w:hAnsi="Arial" w:cs="Arial"/>
                <w:sz w:val="24"/>
                <w:szCs w:val="24"/>
                <w:lang w:val="en-US"/>
              </w:rPr>
              <w:t>(ART. 1º, P. ÚN, DEC. 4.512/2009)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61752" w14:textId="77777777" w:rsidR="002B11E2" w:rsidRPr="00A103D9" w:rsidRDefault="002B11E2">
            <w:pPr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98E70" w14:textId="77777777" w:rsidR="002B11E2" w:rsidRPr="00A103D9" w:rsidRDefault="002B11E2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A3D05" w14:textId="77777777" w:rsidR="002B11E2" w:rsidRPr="00A103D9" w:rsidRDefault="002B11E2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</w:tbl>
    <w:p w14:paraId="12906B50" w14:textId="77777777" w:rsidR="002B11E2" w:rsidRPr="00A103D9" w:rsidRDefault="002B11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13" w:right="113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49719A67" w14:textId="77777777" w:rsidR="002B11E2" w:rsidRPr="00A103D9" w:rsidRDefault="002B11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13" w:right="113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tbl>
      <w:tblPr>
        <w:tblStyle w:val="a1"/>
        <w:tblW w:w="10490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0490"/>
      </w:tblGrid>
      <w:tr w:rsidR="002B11E2" w14:paraId="228046B3" w14:textId="77777777">
        <w:trPr>
          <w:trHeight w:val="1019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D400E" w14:textId="77777777" w:rsidR="002B11E2" w:rsidRDefault="004619CE">
            <w:pPr>
              <w:spacing w:after="28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Nota explicativa</w:t>
            </w:r>
          </w:p>
          <w:p w14:paraId="16CF1C60" w14:textId="77777777" w:rsidR="002B11E2" w:rsidRDefault="004619CE">
            <w:pPr>
              <w:spacing w:before="2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Nos casos em que for utilizada a minuta de edital de PSS “sem objeto definido”, o encaminhamento do expediente à Procuradoria-Geral do Estado, para análise jurídica, nos termos do Decreto Estadual nº 3.203/2015, e da Resolução nº 41/2016-PGE,  deve ser fei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to após a completa instrução do expediente.</w:t>
            </w:r>
          </w:p>
        </w:tc>
      </w:tr>
    </w:tbl>
    <w:p w14:paraId="2E2500DE" w14:textId="77777777" w:rsidR="002B11E2" w:rsidRDefault="002B11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13"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300" w:type="dxa"/>
        <w:tblInd w:w="-13" w:type="dxa"/>
        <w:tblLayout w:type="fixed"/>
        <w:tblLook w:val="0400" w:firstRow="0" w:lastRow="0" w:firstColumn="0" w:lastColumn="0" w:noHBand="0" w:noVBand="1"/>
      </w:tblPr>
      <w:tblGrid>
        <w:gridCol w:w="4583"/>
        <w:gridCol w:w="140"/>
        <w:gridCol w:w="4577"/>
      </w:tblGrid>
      <w:tr w:rsidR="002B11E2" w14:paraId="5B7C9254" w14:textId="77777777">
        <w:trPr>
          <w:trHeight w:val="283"/>
        </w:trPr>
        <w:tc>
          <w:tcPr>
            <w:tcW w:w="4583" w:type="dxa"/>
            <w:vAlign w:val="bottom"/>
          </w:tcPr>
          <w:p w14:paraId="5C9F1532" w14:textId="77777777" w:rsidR="002B11E2" w:rsidRDefault="002B11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FD031E" w14:textId="77777777" w:rsidR="002B11E2" w:rsidRDefault="002B11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6D7B93" w14:textId="77777777" w:rsidR="002B11E2" w:rsidRDefault="004619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_____________, ___ DE ____ DE _____.</w:t>
            </w:r>
          </w:p>
        </w:tc>
        <w:tc>
          <w:tcPr>
            <w:tcW w:w="140" w:type="dxa"/>
            <w:vAlign w:val="bottom"/>
          </w:tcPr>
          <w:p w14:paraId="592AA2E6" w14:textId="77777777" w:rsidR="002B11E2" w:rsidRDefault="002B11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vAlign w:val="bottom"/>
          </w:tcPr>
          <w:p w14:paraId="53B82BFE" w14:textId="77777777" w:rsidR="002B11E2" w:rsidRDefault="004619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____________, ___ DE _____DE _____.</w:t>
            </w:r>
          </w:p>
        </w:tc>
      </w:tr>
      <w:tr w:rsidR="002B11E2" w14:paraId="33B3B8F8" w14:textId="77777777">
        <w:trPr>
          <w:trHeight w:val="521"/>
        </w:trPr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067F4D" w14:textId="77777777" w:rsidR="002B11E2" w:rsidRDefault="004619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(LOCAL/DATA)</w:t>
            </w:r>
          </w:p>
          <w:p w14:paraId="754E7E31" w14:textId="77777777" w:rsidR="002B11E2" w:rsidRDefault="002B11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4C1A1B" w14:textId="77777777" w:rsidR="002B11E2" w:rsidRDefault="002B11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" w:type="dxa"/>
          </w:tcPr>
          <w:p w14:paraId="059264D7" w14:textId="77777777" w:rsidR="002B11E2" w:rsidRDefault="002B11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333637" w14:textId="77777777" w:rsidR="002B11E2" w:rsidRDefault="004619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(LOCAL/DATA)</w:t>
            </w:r>
          </w:p>
        </w:tc>
      </w:tr>
      <w:tr w:rsidR="002B11E2" w14:paraId="474CBFAF" w14:textId="77777777">
        <w:trPr>
          <w:trHeight w:val="538"/>
        </w:trPr>
        <w:tc>
          <w:tcPr>
            <w:tcW w:w="45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CBC588" w14:textId="77777777" w:rsidR="002B11E2" w:rsidRDefault="004619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[NOME E ASSINATURA DO SERVIDOR RESPONSÁVEL PELO PREENCHIMENTO]</w:t>
            </w:r>
          </w:p>
          <w:p w14:paraId="7465B829" w14:textId="77777777" w:rsidR="002B11E2" w:rsidRDefault="002B11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" w:type="dxa"/>
          </w:tcPr>
          <w:p w14:paraId="7D570137" w14:textId="77777777" w:rsidR="002B11E2" w:rsidRDefault="002B11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D692CB" w14:textId="77777777" w:rsidR="002B11E2" w:rsidRDefault="002B11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CA3A4D" w14:textId="77777777" w:rsidR="002B11E2" w:rsidRDefault="004619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[NOME E ASSINATURA DO CHEFE DO SETOR</w:t>
            </w:r>
          </w:p>
          <w:p w14:paraId="182BA3E5" w14:textId="77777777" w:rsidR="002B11E2" w:rsidRDefault="004619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COMPETENTE]</w:t>
            </w:r>
          </w:p>
          <w:p w14:paraId="5D3B4ED9" w14:textId="77777777" w:rsidR="002B11E2" w:rsidRDefault="002B11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6628925" w14:textId="77777777" w:rsidR="002B11E2" w:rsidRDefault="002B11E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2B11E2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6F1A" w14:textId="77777777" w:rsidR="004619CE" w:rsidRDefault="004619CE">
      <w:pPr>
        <w:spacing w:after="0" w:line="240" w:lineRule="auto"/>
      </w:pPr>
      <w:r>
        <w:separator/>
      </w:r>
    </w:p>
  </w:endnote>
  <w:endnote w:type="continuationSeparator" w:id="0">
    <w:p w14:paraId="38ECA66E" w14:textId="77777777" w:rsidR="004619CE" w:rsidRDefault="0046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Segoe UI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61DB" w14:textId="77777777" w:rsidR="004619CE" w:rsidRDefault="004619CE">
      <w:pPr>
        <w:spacing w:after="0" w:line="240" w:lineRule="auto"/>
      </w:pPr>
      <w:r>
        <w:separator/>
      </w:r>
    </w:p>
  </w:footnote>
  <w:footnote w:type="continuationSeparator" w:id="0">
    <w:p w14:paraId="5A9766DD" w14:textId="77777777" w:rsidR="004619CE" w:rsidRDefault="0046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8571" w14:textId="77777777" w:rsidR="002B11E2" w:rsidRDefault="0046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4C0BD1" wp14:editId="526E4451">
          <wp:simplePos x="0" y="0"/>
          <wp:positionH relativeFrom="column">
            <wp:posOffset>408305</wp:posOffset>
          </wp:positionH>
          <wp:positionV relativeFrom="paragraph">
            <wp:posOffset>5080</wp:posOffset>
          </wp:positionV>
          <wp:extent cx="768985" cy="736600"/>
          <wp:effectExtent l="0" t="0" r="0" b="0"/>
          <wp:wrapSquare wrapText="bothSides" distT="0" distB="0" distL="114300" distR="114300"/>
          <wp:docPr id="3" name="image1.png" descr="logo_seed_19_verti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seed_19_vertical"/>
                  <pic:cNvPicPr preferRelativeResize="0"/>
                </pic:nvPicPr>
                <pic:blipFill>
                  <a:blip r:embed="rId1"/>
                  <a:srcRect b="19669"/>
                  <a:stretch>
                    <a:fillRect/>
                  </a:stretch>
                </pic:blipFill>
                <pic:spPr>
                  <a:xfrm>
                    <a:off x="0" y="0"/>
                    <a:ext cx="768985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9112D8" w14:textId="77777777" w:rsidR="002B11E2" w:rsidRDefault="0046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93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262626"/>
      </w:rPr>
      <w:t>ESTADO DO PARANÁ</w:t>
    </w:r>
  </w:p>
  <w:p w14:paraId="4D8CDDA8" w14:textId="77777777" w:rsidR="002B11E2" w:rsidRDefault="0046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93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262626"/>
      </w:rPr>
      <w:t>(ÓRGÃO/ENTIDADE ESTADUAL)</w:t>
    </w:r>
  </w:p>
  <w:p w14:paraId="3020532B" w14:textId="77777777" w:rsidR="002B11E2" w:rsidRDefault="0046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93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262626"/>
      </w:rPr>
      <w:t xml:space="preserve">                                (SETOR)</w:t>
    </w:r>
  </w:p>
  <w:p w14:paraId="632369FE" w14:textId="77777777" w:rsidR="002B11E2" w:rsidRDefault="002B11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0A61927" w14:textId="77777777" w:rsidR="002B11E2" w:rsidRDefault="004619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252"/>
        <w:tab w:val="right" w:pos="8504"/>
        <w:tab w:val="left" w:pos="3091"/>
        <w:tab w:val="center" w:pos="6350"/>
        <w:tab w:val="right" w:pos="10602"/>
      </w:tabs>
      <w:spacing w:after="0" w:line="240" w:lineRule="auto"/>
      <w:ind w:left="2098"/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  <w:sz w:val="14"/>
        <w:szCs w:val="14"/>
      </w:rPr>
      <w:t xml:space="preserve">Protocolo n° XX.XXX.XXX -X </w:t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t xml:space="preserve">(página </w:t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fldChar w:fldCharType="begin"/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instrText>PAGE</w:instrText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fldChar w:fldCharType="separate"/>
    </w:r>
    <w:r w:rsidR="00A103D9">
      <w:rPr>
        <w:rFonts w:ascii="Arial" w:eastAsia="Arial" w:hAnsi="Arial" w:cs="Arial"/>
        <w:b/>
        <w:noProof/>
        <w:color w:val="000000"/>
        <w:sz w:val="14"/>
        <w:szCs w:val="14"/>
        <w:u w:val="single"/>
      </w:rPr>
      <w:t>1</w:t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t xml:space="preserve"> de </w:t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fldChar w:fldCharType="begin"/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instrText>NUMPAGES</w:instrText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fldChar w:fldCharType="separate"/>
    </w:r>
    <w:r w:rsidR="00A103D9">
      <w:rPr>
        <w:rFonts w:ascii="Arial" w:eastAsia="Arial" w:hAnsi="Arial" w:cs="Arial"/>
        <w:b/>
        <w:noProof/>
        <w:color w:val="000000"/>
        <w:sz w:val="14"/>
        <w:szCs w:val="14"/>
        <w:u w:val="single"/>
      </w:rPr>
      <w:t>2</w:t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  <w:u w:val="single"/>
      </w:rPr>
      <w:t>)</w:t>
    </w:r>
  </w:p>
  <w:p w14:paraId="5F1FCBE0" w14:textId="77777777" w:rsidR="002B11E2" w:rsidRDefault="002B11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E2"/>
    <w:rsid w:val="002B11E2"/>
    <w:rsid w:val="004619CE"/>
    <w:rsid w:val="00A103D9"/>
    <w:rsid w:val="00B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C9B0"/>
  <w15:docId w15:val="{4B0F6680-0F8C-409F-801F-DDA6639F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B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2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A82"/>
  </w:style>
  <w:style w:type="paragraph" w:styleId="Footer">
    <w:name w:val="footer"/>
    <w:basedOn w:val="Normal"/>
    <w:link w:val="FooterChar"/>
    <w:uiPriority w:val="99"/>
    <w:unhideWhenUsed/>
    <w:rsid w:val="00F2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82"/>
  </w:style>
  <w:style w:type="paragraph" w:customStyle="1" w:styleId="Standard">
    <w:name w:val="Standard"/>
    <w:qFormat/>
    <w:rsid w:val="00917207"/>
    <w:pPr>
      <w:suppressAutoHyphens/>
      <w:spacing w:after="0" w:line="240" w:lineRule="auto"/>
      <w:ind w:left="113" w:right="113"/>
    </w:pPr>
    <w:rPr>
      <w:rFonts w:ascii="Times New Roman" w:eastAsia="Times New Roman" w:hAnsi="Times New Roman" w:cs="Trebuchet MS"/>
      <w:kern w:val="2"/>
      <w:sz w:val="20"/>
      <w:szCs w:val="20"/>
      <w:lang w:eastAsia="zh-CN" w:bidi="hi-IN"/>
    </w:rPr>
  </w:style>
  <w:style w:type="paragraph" w:customStyle="1" w:styleId="Textbody">
    <w:name w:val="Text body"/>
    <w:basedOn w:val="Normal"/>
    <w:qFormat/>
    <w:rsid w:val="00917207"/>
    <w:pPr>
      <w:suppressAutoHyphens/>
      <w:spacing w:after="140" w:line="288" w:lineRule="auto"/>
    </w:pPr>
    <w:rPr>
      <w:rFonts w:ascii="Myriad Pro" w:eastAsia="SimSun" w:hAnsi="Myriad Pro" w:cs="Mangal"/>
      <w:kern w:val="2"/>
      <w:sz w:val="24"/>
      <w:szCs w:val="24"/>
      <w:lang w:eastAsia="zh-CN" w:bidi="hi-IN"/>
    </w:rPr>
  </w:style>
  <w:style w:type="character" w:customStyle="1" w:styleId="Fontepargpadro">
    <w:name w:val="Fonte parág. padrão"/>
    <w:rsid w:val="00C4058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leHQFLOsXqwiMhvzumo0Si/0EQ==">AMUW2mUAHthn/VPlSW25l0lN2LfITfWelED1knIOgRg07lCJl1TJC0kf07/6s3giPApuq5FsqTxtv/MgUH47gCollCcKwy+bzE4pIt3efqE4TpX6RHxkOmKdIDCtD5n4gj+mlX8MBT/x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Barbato</dc:creator>
  <cp:lastModifiedBy>Leandro Barbato Maldonado de Oliveira</cp:lastModifiedBy>
  <cp:revision>3</cp:revision>
  <cp:lastPrinted>2022-04-11T16:45:00Z</cp:lastPrinted>
  <dcterms:created xsi:type="dcterms:W3CDTF">2022-04-11T16:44:00Z</dcterms:created>
  <dcterms:modified xsi:type="dcterms:W3CDTF">2022-04-11T16:45:00Z</dcterms:modified>
</cp:coreProperties>
</file>