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7CDC" w14:textId="77777777" w:rsidR="00677C51" w:rsidRDefault="00CD73FA">
      <w:pPr>
        <w:pStyle w:val="PargrafodaLista"/>
        <w:shd w:val="clear" w:color="auto" w:fill="EEECE1" w:themeFill="background2"/>
        <w:overflowPunct w:val="0"/>
        <w:spacing w:after="160"/>
        <w:ind w:left="0" w:right="113" w:firstLine="0"/>
        <w:contextualSpacing/>
        <w:jc w:val="center"/>
      </w:pPr>
      <w:r>
        <w:rPr>
          <w:rFonts w:eastAsia="Calibri"/>
          <w:sz w:val="24"/>
          <w:szCs w:val="24"/>
          <w:lang w:val="pt-BR"/>
        </w:rPr>
        <w:t>ANEXO IV - LISTA DE VERIFICAÇÃO - AQUISIÇÕES DE BENS E PRESTAÇÃO DE SERVIÇOS</w:t>
      </w:r>
    </w:p>
    <w:p w14:paraId="5A310971" w14:textId="77777777" w:rsidR="00677C51" w:rsidRDefault="00CD73FA">
      <w:pPr>
        <w:shd w:val="clear" w:color="auto" w:fill="FFFFFF"/>
        <w:spacing w:beforeAutospacing="1" w:afterAutospacing="1"/>
        <w:ind w:left="17"/>
        <w:jc w:val="both"/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LISTA DE VERIFICAÇÃO – DISPENSA DE LICITAÇÃO – AQUISIÇÃO DE BENS E PRESTAÇÃO DE SERVIÇOS DESTINADOS AO ENFRENTAMENTO DA PANDEMIA DA COVID-19, COM FUNDAMENTO NA MEDIDA </w:t>
      </w:r>
      <w:r>
        <w:rPr>
          <w:rFonts w:eastAsia="Times New Roman"/>
          <w:b/>
          <w:bCs/>
          <w:sz w:val="24"/>
          <w:szCs w:val="24"/>
          <w:lang w:eastAsia="pt-BR"/>
        </w:rPr>
        <w:t>PROVISÓRIA Nº 1.047, DE 03 DE MAIO DE 2021.</w:t>
      </w:r>
    </w:p>
    <w:tbl>
      <w:tblPr>
        <w:tblW w:w="4875" w:type="dxa"/>
        <w:tblInd w:w="703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5"/>
      </w:tblGrid>
      <w:tr w:rsidR="00677C51" w14:paraId="1FC987FB" w14:textId="77777777">
        <w:trPr>
          <w:trHeight w:val="300"/>
        </w:trPr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442844" w14:textId="77777777" w:rsidR="00677C51" w:rsidRDefault="00CD73FA">
            <w:pPr>
              <w:widowControl w:val="0"/>
              <w:shd w:val="clear" w:color="auto" w:fill="FFFFFF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Protocolo n.º</w:t>
            </w:r>
          </w:p>
        </w:tc>
      </w:tr>
    </w:tbl>
    <w:p w14:paraId="11726268" w14:textId="77777777" w:rsidR="00677C51" w:rsidRDefault="00677C51">
      <w:pPr>
        <w:shd w:val="clear" w:color="auto" w:fill="FFFFFF"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3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7198"/>
        <w:gridCol w:w="1388"/>
      </w:tblGrid>
      <w:tr w:rsidR="00677C51" w14:paraId="6B2283B9" w14:textId="77777777">
        <w:tc>
          <w:tcPr>
            <w:tcW w:w="91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</w:tcPr>
          <w:p w14:paraId="6C35E86D" w14:textId="77777777" w:rsidR="00677C51" w:rsidRDefault="00CD73FA">
            <w:pPr>
              <w:widowControl w:val="0"/>
              <w:shd w:val="clear" w:color="auto" w:fill="000000"/>
              <w:spacing w:beforeAutospacing="1"/>
              <w:jc w:val="center"/>
              <w:rPr>
                <w:rFonts w:ascii="Arial;sans-serif" w:eastAsia="Times New Roman" w:hAnsi="Arial;sans-serif"/>
                <w:color w:val="000000"/>
                <w:sz w:val="20"/>
                <w:szCs w:val="20"/>
                <w:u w:val="single"/>
                <w:shd w:val="clear" w:color="auto" w:fill="FFFF00"/>
                <w:lang w:eastAsia="pt-BR"/>
              </w:rPr>
            </w:pPr>
            <w:r>
              <w:rPr>
                <w:rFonts w:ascii="Arial;sans-serif" w:eastAsia="Times New Roman" w:hAnsi="Arial;sans-serif"/>
                <w:color w:val="FFFFFF"/>
                <w:sz w:val="24"/>
                <w:szCs w:val="24"/>
                <w:u w:val="single"/>
                <w:shd w:val="clear" w:color="auto" w:fill="000000"/>
                <w:lang w:eastAsia="pt-BR"/>
              </w:rPr>
              <w:t>REQUISITOS GERAIS</w:t>
            </w:r>
          </w:p>
        </w:tc>
      </w:tr>
      <w:tr w:rsidR="00677C51" w14:paraId="658ACBEB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2624403A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01.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7C0B9D3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Solicitação de aquisição do bem ou contratação de serviço, contendo a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respectiva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justificativa, demonstrando a correlação entre o objeto da contratação e o combate ao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COVID-19.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7A5BBC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4C2293BE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8C34F0E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8BDE5CB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825540B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Indicação do dispositivo legal aplicável – artigo 2º, inciso I, da Medida Provisória nº 1.047/2021.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B1605C8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6E8B70C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7528CF33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7BCA420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AF149DF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Razões da escolha do contratado.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5ABDF95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DAD1C6F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0174F65A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9A1C18D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D8B18F7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Termo de Dispensa de Licitação (“Termo de Referência Simplificado”), nos termos do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. 8º, § 1º, da Medida Provisória nº 1.047/2021.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2C496DEF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80B3821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1718DF3A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F1B7C2F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05.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C781EB2" w14:textId="77777777" w:rsidR="00677C51" w:rsidRDefault="00CD73F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Despacho de aprovação do Termo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de Dispensa de Licitação (“Termo de Referência Simplificado”), devidamen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te assinado pela autoridade competente.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73E6F34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13CDDE2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6782BB47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038696C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06.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F311FCC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Consulta ao banco de dados do Sistema GMS para verificação da não existência de Ata de Registro de Preços vigente.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A9DC937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323CF4A9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8DD25F7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D57825D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07.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130EF05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Justificativa de preço, inclusive com apresentação de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orçamentos ou da consulta aos preços de mercado.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D4E665D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3B9C592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3FC231A6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70649DA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08.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4BF0DD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Mapa de formação de preço, devidamente assinado pelos servidores responsáveis por sua elaboração.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763F866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13D17AE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47881004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7F77311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09.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060AC7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Informações orçamentárias e financeiras.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1D81F3B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B32D0FB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2A5B607C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9DB4A56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CBF99C2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Minuta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Padronizada do Contrato, nas hipóteses em que sua formalização for obrigatória (artigo 108, inciso I, da Lei Estadual nº 15.608/2007), ou justificativa sobre sua substituição (artigo 108, § 1º, da Lei Estadual nº 15.608/2007).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D7AA37B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44DE9733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23686D03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0E91508A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7CB694A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pt-BR"/>
              </w:rPr>
              <w:t>Parecer Ref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erencial</w:t>
            </w:r>
            <w:proofErr w:type="gram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exarado pela Procuradoria-Geral do Estado.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1932DB3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64D0293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095F7214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82ADAFC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F200004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Documentos de qualificação técnica, quando for cabível.</w:t>
            </w:r>
          </w:p>
          <w:p w14:paraId="29AD66B5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(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t-BR"/>
              </w:rPr>
              <w:t>ver Nota Explicativa nº 07)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7C49EBA4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3AE1F421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Fls. ______</w:t>
            </w:r>
          </w:p>
        </w:tc>
      </w:tr>
      <w:tr w:rsidR="00677C51" w14:paraId="72EA0376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2DA825CF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13.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BF470C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Documentos de qualificação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econômico-financeira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>, quando for cabível. (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t-BR"/>
              </w:rPr>
              <w:t xml:space="preserve">ver Nota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t-BR"/>
              </w:rPr>
              <w:t>Explicativa nº 08)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31570D4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389623D9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91F232D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693B896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1D0991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Cópia dos atos constitutivos da empresa que se pretende contratar ou cadastro completo do Sistema GMS.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4104C68F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6F422F58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65FABBA2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A9557E2" w14:textId="77777777" w:rsidR="00677C51" w:rsidRDefault="00CD73FA">
            <w:pPr>
              <w:widowControl w:val="0"/>
              <w:spacing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E59271B" w14:textId="77777777" w:rsidR="00677C51" w:rsidRDefault="00CD73FA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Cópia dos documentos pessoais do representante legal da empresa e, se for o caso, </w:t>
            </w:r>
            <w:r>
              <w:rPr>
                <w:sz w:val="24"/>
                <w:szCs w:val="24"/>
              </w:rPr>
              <w:t>procuração outorgando poderes de representação.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6D3E24E0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4199F23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4E2E2965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EFD1F59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FA88FF2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Autorização do ordenador de despesas.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70A6FEF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1914C6F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3A33485F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BF6F72F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C75AAB4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Numeração sequencial da dispensa de licitação.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3922930F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E706DDA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458D097A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C6C27DF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427B2A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Documento de aprovação dos projetos de pesquisa aos quais os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bens serão alocados (quando tal providência for compatível com o objeto que se pretende contratar).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D7BDC56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3C0C686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10696F5F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EB15E78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81F092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Parecer Técnico sobre a dispensa (quando a complexidade do objeto o exigir).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64F6D5BF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6C72EFE1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258C1BCA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7E240E4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DE03933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Ato de ratificação da dispensa de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licitação.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DFF5995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681C6CF0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20B84EC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0B12DDBE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DD16ED4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Publicação no DIOE do ato formal fundamentado da autoridade competente.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695ACAF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70E7E2F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16328613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EF74640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F4ECA0A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Disponibilização da contratação em sítio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oﬁcial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específico na rede mundial de computadores (internet), observando o disposto no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. 10º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da Medida Provisória nº 1.047/2021.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CA98B5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6F5475A7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</w:tbl>
    <w:p w14:paraId="2B4E4ADD" w14:textId="77777777" w:rsidR="00677C51" w:rsidRDefault="00677C51">
      <w:pPr>
        <w:shd w:val="clear" w:color="auto" w:fill="FFFFFF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3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7198"/>
        <w:gridCol w:w="1388"/>
      </w:tblGrid>
      <w:tr w:rsidR="00677C51" w14:paraId="4F3BFFFB" w14:textId="77777777">
        <w:tc>
          <w:tcPr>
            <w:tcW w:w="91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9AD075" w14:textId="77777777" w:rsidR="00677C51" w:rsidRDefault="00CD73FA">
            <w:pPr>
              <w:widowControl w:val="0"/>
              <w:shd w:val="clear" w:color="auto" w:fill="000000"/>
              <w:spacing w:beforeAutospacing="1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FFFFFF"/>
                <w:sz w:val="24"/>
                <w:szCs w:val="24"/>
                <w:shd w:val="clear" w:color="auto" w:fill="000000"/>
                <w:lang w:eastAsia="pt-BR"/>
              </w:rPr>
              <w:t>REGULARIDADE FISCAL E TRABALHISTA</w:t>
            </w:r>
          </w:p>
        </w:tc>
      </w:tr>
      <w:tr w:rsidR="00677C51" w14:paraId="4CF858D0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4BD8142E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01.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3B8AF3F1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Certidão de Regularidade com a Fazenda Federal, inclusive quanto aos débitos fiscais e às contribuições previdenciárias, atualizada.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BD261D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F6BFDE6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67744E9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6E7411DB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5DDE6C8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CEB79F8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Certidão de Regularidade com a Fazenda Estadual do Paraná atualizada.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0B30DE9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029964A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0451A36A" w14:textId="77777777">
        <w:trPr>
          <w:trHeight w:val="42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89B890C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1E55086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Certidão atualizada de Regularidade com a Fazenda Estadual da sede da empresa, quando a contratada for sediada em outro Estado da Federação.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54F033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33C1DD8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7FD90538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AF6D8F9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AEE9C86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EF7B93E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Certidão de Regularidade com a Fazenda Municipal da sede da empresa, atualizada.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708A3D09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2548759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45203DFC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3AA35C6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05.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3DDC438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DBD89A3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Certificado de Regularidade com o FGTS atualizado.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B55FE45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D085E8D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</w:t>
            </w:r>
          </w:p>
        </w:tc>
      </w:tr>
      <w:tr w:rsidR="00677C51" w14:paraId="710BBF8D" w14:textId="77777777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00F6C2A5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06.</w:t>
            </w: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1595DC1B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3129B913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Certidão Negativa de Débitos Trabalhistas atualizada.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8ADD4E6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FCD4639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7955E1CA" w14:textId="77777777">
        <w:trPr>
          <w:trHeight w:hRule="exact" w:val="23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6AC06750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2485D9F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5D3C9CBD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6EC3E822" w14:textId="77777777" w:rsidR="00677C51" w:rsidRDefault="00677C51">
      <w:pPr>
        <w:shd w:val="clear" w:color="auto" w:fill="FFFFFF"/>
        <w:spacing w:before="57" w:after="24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7177"/>
        <w:gridCol w:w="1433"/>
      </w:tblGrid>
      <w:tr w:rsidR="00677C51" w14:paraId="507B0F0F" w14:textId="77777777">
        <w:tc>
          <w:tcPr>
            <w:tcW w:w="91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AD53F7" w14:textId="77777777" w:rsidR="00677C51" w:rsidRDefault="00CD73FA">
            <w:pPr>
              <w:widowControl w:val="0"/>
              <w:shd w:val="clear" w:color="auto" w:fill="000000"/>
              <w:spacing w:beforeAutospacing="1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FFFFFF"/>
                <w:sz w:val="24"/>
                <w:szCs w:val="24"/>
                <w:shd w:val="clear" w:color="auto" w:fill="000000"/>
                <w:lang w:eastAsia="pt-BR"/>
              </w:rPr>
              <w:t>CONSULTAS PRÉVIAS OBRIGATÓRIAS</w:t>
            </w:r>
          </w:p>
        </w:tc>
      </w:tr>
      <w:tr w:rsidR="00677C51" w14:paraId="021BDFC2" w14:textId="77777777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1BFD94AF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01.</w:t>
            </w:r>
          </w:p>
        </w:tc>
        <w:tc>
          <w:tcPr>
            <w:tcW w:w="7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6A3DB611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Consulta ao CADIN do Estado do Paraná, observadas, quando for o caso, as hipóteses do artigo 3º, parágrafo único, inciso II, da Lei Estadual nº 18.466/2015.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7EA8BA" w14:textId="77777777" w:rsidR="00677C51" w:rsidRDefault="00CD73FA">
            <w:pPr>
              <w:widowControl w:val="0"/>
              <w:spacing w:before="278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3D557728" w14:textId="77777777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0263D672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02.</w:t>
            </w:r>
          </w:p>
        </w:tc>
        <w:tc>
          <w:tcPr>
            <w:tcW w:w="7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B267309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Consulta sobre as Empresas Suspensas ou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Impedidas de contratar com a Administração Pública Estadual (GMS).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1D1803C6" w14:textId="77777777" w:rsidR="00677C51" w:rsidRDefault="00CD73FA">
            <w:pPr>
              <w:widowControl w:val="0"/>
              <w:spacing w:before="278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19063B4C" w14:textId="77777777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2C9042A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03.</w:t>
            </w:r>
          </w:p>
        </w:tc>
        <w:tc>
          <w:tcPr>
            <w:tcW w:w="7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4B16F70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Consulta ao Cadastro Nacional de Empresas Inidôneas e Suspensas (CEIS).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660CEDA8" w14:textId="77777777" w:rsidR="00677C51" w:rsidRDefault="00CD73FA">
            <w:pPr>
              <w:widowControl w:val="0"/>
              <w:spacing w:before="278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</w:tbl>
    <w:p w14:paraId="1F1D905A" w14:textId="77777777" w:rsidR="00677C51" w:rsidRDefault="00677C51">
      <w:pPr>
        <w:shd w:val="clear" w:color="auto" w:fill="FFFFFF"/>
        <w:spacing w:before="57" w:after="24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7199"/>
        <w:gridCol w:w="1433"/>
      </w:tblGrid>
      <w:tr w:rsidR="00677C51" w14:paraId="0C19BD2C" w14:textId="77777777">
        <w:tc>
          <w:tcPr>
            <w:tcW w:w="91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3799F2" w14:textId="77777777" w:rsidR="00677C51" w:rsidRDefault="00CD73FA">
            <w:pPr>
              <w:widowControl w:val="0"/>
              <w:shd w:val="clear" w:color="auto" w:fill="000000"/>
              <w:spacing w:beforeAutospacing="1"/>
              <w:jc w:val="center"/>
              <w:rPr>
                <w:rFonts w:eastAsia="Times New Roman"/>
                <w:color w:val="FFFFFF"/>
                <w:sz w:val="24"/>
                <w:szCs w:val="24"/>
                <w:shd w:val="clear" w:color="auto" w:fill="000000"/>
                <w:lang w:eastAsia="pt-BR"/>
              </w:rPr>
            </w:pPr>
            <w:r>
              <w:rPr>
                <w:rFonts w:eastAsia="Times New Roman"/>
                <w:color w:val="FFFFFF"/>
                <w:sz w:val="24"/>
                <w:szCs w:val="24"/>
                <w:shd w:val="clear" w:color="auto" w:fill="000000"/>
                <w:lang w:eastAsia="pt-BR"/>
              </w:rPr>
              <w:t>DECLARAÇÕES FIRMADAS PELO CONTRATADO</w:t>
            </w:r>
          </w:p>
        </w:tc>
      </w:tr>
      <w:tr w:rsidR="00677C51" w14:paraId="3A1BA290" w14:textId="77777777">
        <w:tc>
          <w:tcPr>
            <w:tcW w:w="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527AF5CF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01.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0" w:type="dxa"/>
            </w:tcMar>
          </w:tcPr>
          <w:p w14:paraId="5234E236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Que não utiliza a mão de obra direta ou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indireta de menores de 18 (dezoito) anos para a realização de trabalhos noturnos, perigosos ou insalubres, bem como não utiliza, para qualquer trabalho, mão de obra direta ou indireta de menores de 16 (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dezesseis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>) anos, exceto na condição de aprendiz a part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ir de 14 (quatorze) anos, conforme determina o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. 7º,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inc.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XXXIII, da Constituição Federal.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D70D8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422FD58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402081AD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50042C02" w14:textId="77777777">
        <w:tc>
          <w:tcPr>
            <w:tcW w:w="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1384A8C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02.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790CDB3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Que não incide em nenhuma das situações impeditivas à contratação, indicadas no Decreto Estadual nº 2.485/2019, que veda o nepotismo nos órgãos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e entidades estaduais nas contratações celebradas pela Administração Pública do Estado do Paraná.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09303B00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A5422EE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8CCB338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  <w:tr w:rsidR="00677C51" w14:paraId="4EA2C5F0" w14:textId="77777777">
        <w:tc>
          <w:tcPr>
            <w:tcW w:w="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B191933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03.</w:t>
            </w:r>
          </w:p>
        </w:tc>
        <w:tc>
          <w:tcPr>
            <w:tcW w:w="7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CE89684" w14:textId="77777777" w:rsidR="00677C51" w:rsidRDefault="00CD73F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Que atesta o atendimento à Política Pública Ambiental de licitação sustentável, em especial, que se responsabiliza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integralmente com a logística reversa dos produtos, embalagens e serviços pós-consumo no limite da proporção que fornecerem ao Poder Público, assumindo a responsabilidade pela destinação final ambientalmente adequada.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</w:tcMar>
          </w:tcPr>
          <w:p w14:paraId="21E30964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DEC0717" w14:textId="77777777" w:rsidR="00677C51" w:rsidRDefault="00677C5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2D8B4F5" w14:textId="77777777" w:rsidR="00677C51" w:rsidRDefault="00CD73FA">
            <w:pPr>
              <w:widowControl w:val="0"/>
              <w:jc w:val="both"/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Fls. ______</w:t>
            </w:r>
          </w:p>
        </w:tc>
      </w:tr>
    </w:tbl>
    <w:p w14:paraId="5590651A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677C51" w14:paraId="3403727C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8369EB" w14:textId="77777777" w:rsidR="00677C51" w:rsidRDefault="00CD73FA">
            <w:pPr>
              <w:widowControl w:val="0"/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Nota </w:t>
            </w:r>
            <w:r>
              <w:rPr>
                <w:rFonts w:eastAsia="Times New Roman"/>
                <w:b/>
                <w:bCs/>
                <w:lang w:eastAsia="pt-BR"/>
              </w:rPr>
              <w:t>explicativa 1</w:t>
            </w:r>
          </w:p>
          <w:p w14:paraId="0F831D30" w14:textId="77777777" w:rsidR="00677C51" w:rsidRDefault="00CD73FA">
            <w:pPr>
              <w:widowControl w:val="0"/>
              <w:shd w:val="clear" w:color="auto" w:fill="FFFF00"/>
              <w:spacing w:beforeAutospacing="1"/>
              <w:jc w:val="both"/>
            </w:pPr>
            <w:r>
              <w:rPr>
                <w:rFonts w:eastAsia="Times New Roman"/>
                <w:lang w:eastAsia="pt-BR"/>
              </w:rPr>
              <w:t>A justificativa para a aquisição dos bens ou contratação dos serviços deverá indicar, no mínimo, que a finalidade é o enfrentamento da pandemia da COVID-19, nos termos da Medida Provisória nº 1.047/2021, a quantidade demandada, as especificaç</w:t>
            </w:r>
            <w:r>
              <w:rPr>
                <w:rFonts w:eastAsia="Times New Roman"/>
                <w:lang w:eastAsia="pt-BR"/>
              </w:rPr>
              <w:t>ões técnicas do objeto da contratação, quem efetua o pedido e qual órgão ou setor será atendido com a contratação.</w:t>
            </w:r>
          </w:p>
        </w:tc>
      </w:tr>
    </w:tbl>
    <w:p w14:paraId="034BD3CB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3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5"/>
      </w:tblGrid>
      <w:tr w:rsidR="00677C51" w14:paraId="2EED9940" w14:textId="77777777">
        <w:trPr>
          <w:trHeight w:val="585"/>
        </w:trPr>
        <w:tc>
          <w:tcPr>
            <w:tcW w:w="9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08D6EF" w14:textId="77777777" w:rsidR="00677C51" w:rsidRDefault="00CD73FA">
            <w:pPr>
              <w:widowControl w:val="0"/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lastRenderedPageBreak/>
              <w:t>Nota explicativa 2</w:t>
            </w:r>
          </w:p>
          <w:p w14:paraId="612A4D8A" w14:textId="77777777" w:rsidR="00677C51" w:rsidRDefault="00CD73FA">
            <w:pPr>
              <w:widowControl w:val="0"/>
              <w:shd w:val="clear" w:color="auto" w:fill="FFFF0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O </w:t>
            </w:r>
            <w:r>
              <w:rPr>
                <w:rFonts w:eastAsia="Times New Roman"/>
                <w:b/>
                <w:bCs/>
                <w:lang w:eastAsia="pt-BR"/>
              </w:rPr>
              <w:t>Certificado de Regularidade Fiscal – CRF</w:t>
            </w:r>
            <w:r>
              <w:rPr>
                <w:rFonts w:eastAsia="Times New Roman"/>
                <w:lang w:eastAsia="pt-BR"/>
              </w:rPr>
              <w:t xml:space="preserve"> válido supre a necessidade de juntada de certidões negativas individualizadas</w:t>
            </w:r>
            <w:r>
              <w:rPr>
                <w:rFonts w:eastAsia="Times New Roman"/>
                <w:lang w:eastAsia="pt-BR"/>
              </w:rPr>
              <w:t xml:space="preserve"> de débitos tributários, trabalhista, perante a Seguridade Social e ao Fundo de Garantia por Tempo de Serviço – FGTS (</w:t>
            </w:r>
            <w:proofErr w:type="spellStart"/>
            <w:r>
              <w:rPr>
                <w:rFonts w:eastAsia="Times New Roman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lang w:eastAsia="pt-BR"/>
              </w:rPr>
              <w:t>. 6º, § 2º, do Decreto Estadual nº 9.762/2013).</w:t>
            </w:r>
          </w:p>
        </w:tc>
      </w:tr>
    </w:tbl>
    <w:p w14:paraId="6C1CF83A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677C51" w14:paraId="56523C68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6BA9F4" w14:textId="77777777" w:rsidR="00677C51" w:rsidRDefault="00CD73FA">
            <w:pPr>
              <w:widowControl w:val="0"/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Nota explicativa 3</w:t>
            </w:r>
          </w:p>
          <w:p w14:paraId="7363CA3B" w14:textId="77777777" w:rsidR="00677C51" w:rsidRDefault="00CD73FA">
            <w:pPr>
              <w:widowControl w:val="0"/>
              <w:shd w:val="clear" w:color="auto" w:fill="FFFF0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A 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numeração sequencial da dispensa</w:t>
            </w:r>
            <w:r>
              <w:rPr>
                <w:rFonts w:eastAsia="Times New Roman"/>
                <w:lang w:eastAsia="pt-BR"/>
              </w:rPr>
              <w:t xml:space="preserve">, embora seja 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obrigatória</w:t>
            </w:r>
            <w:r>
              <w:rPr>
                <w:rFonts w:eastAsia="Times New Roman"/>
                <w:lang w:eastAsia="pt-BR"/>
              </w:rPr>
              <w:t xml:space="preserve"> (artigo 35, § 4º, inciso</w:t>
            </w:r>
            <w:r>
              <w:rPr>
                <w:rFonts w:eastAsia="Times New Roman"/>
                <w:caps/>
                <w:lang w:eastAsia="pt-BR"/>
              </w:rPr>
              <w:t xml:space="preserve"> I</w:t>
            </w:r>
            <w:r>
              <w:rPr>
                <w:rFonts w:eastAsia="Times New Roman"/>
                <w:lang w:eastAsia="pt-BR"/>
              </w:rPr>
              <w:t>, da Lei Estadual nº 15.608/2007), poderá ser providenciada pelo órgão interessado após a autorização do ordenador de despesas, e deverá constar no contrato ou instrumento equivalente.</w:t>
            </w:r>
          </w:p>
        </w:tc>
      </w:tr>
    </w:tbl>
    <w:p w14:paraId="2BE44F1A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677C51" w14:paraId="71C5127F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BB72CE" w14:textId="77777777" w:rsidR="00677C51" w:rsidRDefault="00CD73FA">
            <w:pPr>
              <w:widowControl w:val="0"/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Nota explicativa 4 </w:t>
            </w:r>
          </w:p>
          <w:p w14:paraId="62304B49" w14:textId="77777777" w:rsidR="00677C51" w:rsidRDefault="00CD73FA">
            <w:pPr>
              <w:widowControl w:val="0"/>
              <w:shd w:val="clear" w:color="auto" w:fill="FFFF0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A 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autorizaç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ão do ordenador de despesas</w:t>
            </w:r>
            <w:r>
              <w:rPr>
                <w:rFonts w:eastAsia="Times New Roman"/>
                <w:lang w:eastAsia="pt-BR"/>
              </w:rPr>
              <w:t xml:space="preserve">, embora seja 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obrigatória</w:t>
            </w:r>
            <w:r>
              <w:rPr>
                <w:rFonts w:eastAsia="Times New Roman"/>
                <w:lang w:eastAsia="pt-BR"/>
              </w:rPr>
              <w:t xml:space="preserve"> (artigo 35, § 4º, inciso </w:t>
            </w:r>
            <w:r>
              <w:rPr>
                <w:rFonts w:eastAsia="Times New Roman"/>
                <w:caps/>
                <w:lang w:eastAsia="pt-BR"/>
              </w:rPr>
              <w:t>III</w:t>
            </w:r>
            <w:r>
              <w:rPr>
                <w:rFonts w:eastAsia="Times New Roman"/>
                <w:lang w:eastAsia="pt-BR"/>
              </w:rPr>
              <w:t>, da Lei Estadual nº 15.608/2007), poderá ser providenciada pelo órgão interessado após a completa instrução do processo.</w:t>
            </w:r>
          </w:p>
        </w:tc>
      </w:tr>
    </w:tbl>
    <w:p w14:paraId="30639051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677C51" w14:paraId="6B1B99F9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A448C4" w14:textId="77777777" w:rsidR="00677C51" w:rsidRDefault="00CD73FA">
            <w:pPr>
              <w:widowControl w:val="0"/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Nota explicativa 5 </w:t>
            </w:r>
          </w:p>
          <w:p w14:paraId="17888323" w14:textId="77777777" w:rsidR="00677C51" w:rsidRDefault="00CD73FA">
            <w:pPr>
              <w:widowControl w:val="0"/>
              <w:shd w:val="clear" w:color="auto" w:fill="FFFF0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>O ato que autoriza a dispensa d</w:t>
            </w:r>
            <w:r>
              <w:rPr>
                <w:rFonts w:eastAsia="Times New Roman"/>
                <w:lang w:eastAsia="pt-BR"/>
              </w:rPr>
              <w:t xml:space="preserve">everá ser comunicado à autoridade superior, </w:t>
            </w:r>
            <w:r>
              <w:rPr>
                <w:rFonts w:eastAsia="Times New Roman"/>
                <w:u w:val="single"/>
                <w:lang w:eastAsia="pt-BR"/>
              </w:rPr>
              <w:t>no prazo de 03 (três) dias</w:t>
            </w:r>
            <w:r>
              <w:rPr>
                <w:rFonts w:eastAsia="Times New Roman"/>
                <w:lang w:eastAsia="pt-BR"/>
              </w:rPr>
              <w:t xml:space="preserve">, para </w:t>
            </w:r>
            <w:r>
              <w:rPr>
                <w:rFonts w:eastAsia="Times New Roman"/>
                <w:b/>
                <w:bCs/>
                <w:u w:val="single"/>
                <w:lang w:eastAsia="pt-BR"/>
              </w:rPr>
              <w:t>ratificação e publicação na Imprensa Oficial</w:t>
            </w:r>
            <w:r>
              <w:rPr>
                <w:rFonts w:eastAsia="Times New Roman"/>
                <w:lang w:eastAsia="pt-BR"/>
              </w:rPr>
              <w:t xml:space="preserve">, </w:t>
            </w:r>
            <w:r>
              <w:rPr>
                <w:rFonts w:eastAsia="Times New Roman"/>
                <w:u w:val="single"/>
                <w:lang w:eastAsia="pt-BR"/>
              </w:rPr>
              <w:t>no prazo de 05 (cinco) dias</w:t>
            </w:r>
            <w:r>
              <w:rPr>
                <w:rFonts w:eastAsia="Times New Roman"/>
                <w:lang w:eastAsia="pt-BR"/>
              </w:rPr>
              <w:t xml:space="preserve">, como condição de eficácia do ato (artigo 35, § 2º, da Lei Estadual nº 15.608/2007). </w:t>
            </w:r>
          </w:p>
        </w:tc>
      </w:tr>
    </w:tbl>
    <w:p w14:paraId="1CEED182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25EB4D24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0E81902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Nota explicativa 6 </w:t>
            </w:r>
          </w:p>
          <w:p w14:paraId="33141EB8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shd w:val="clear" w:color="auto" w:fill="FFFF00"/>
                <w:lang w:eastAsia="pt-BR"/>
              </w:rPr>
              <w:t xml:space="preserve">Com a juntada do Parecer Referencial elaborado pela PGE e a utilização das Minutas Padronizadas anexas, as dispensas com fundamento no artigo 2º, inciso I, da Medida Provisória nº 1.047/2021, </w:t>
            </w:r>
            <w:r>
              <w:rPr>
                <w:rFonts w:eastAsia="Times New Roman"/>
                <w:b/>
                <w:bCs/>
                <w:u w:val="single"/>
                <w:shd w:val="clear" w:color="auto" w:fill="FFFF00"/>
                <w:lang w:eastAsia="pt-BR"/>
              </w:rPr>
              <w:t>não necessitam de nova manifestação jurídica</w:t>
            </w:r>
            <w:r>
              <w:rPr>
                <w:rFonts w:eastAsia="Times New Roman"/>
                <w:b/>
                <w:bCs/>
                <w:u w:val="single"/>
                <w:shd w:val="clear" w:color="auto" w:fill="FFFF00"/>
                <w:lang w:eastAsia="pt-BR"/>
              </w:rPr>
              <w:t xml:space="preserve"> para serem formalizadas</w:t>
            </w:r>
            <w:r>
              <w:rPr>
                <w:rFonts w:eastAsia="Times New Roman"/>
                <w:shd w:val="clear" w:color="auto" w:fill="FFFF00"/>
                <w:lang w:eastAsia="pt-BR"/>
              </w:rPr>
              <w:t xml:space="preserve"> (artigo 13 do Decreto Estadual nº 4.315/2020).</w:t>
            </w:r>
          </w:p>
        </w:tc>
      </w:tr>
    </w:tbl>
    <w:p w14:paraId="4EFB1ED1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6E98F743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2DA0F5F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Nota explicativa 7 </w:t>
            </w:r>
          </w:p>
          <w:p w14:paraId="528C6203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shd w:val="clear" w:color="auto" w:fill="FFFF00"/>
                <w:lang w:eastAsia="pt-BR"/>
              </w:rPr>
            </w:pPr>
            <w:r>
              <w:rPr>
                <w:rFonts w:eastAsia="Times New Roman"/>
                <w:shd w:val="clear" w:color="auto" w:fill="FFFF00"/>
                <w:lang w:eastAsia="pt-BR"/>
              </w:rPr>
              <w:t xml:space="preserve">Recomenda-se a juntada dos documentos técnicos essenciais, quando a atividade assim o exigir (exemplos: licença sanitária, </w:t>
            </w:r>
            <w:proofErr w:type="gramStart"/>
            <w:r>
              <w:rPr>
                <w:rFonts w:eastAsia="Times New Roman"/>
                <w:shd w:val="clear" w:color="auto" w:fill="FFFF00"/>
                <w:lang w:eastAsia="pt-BR"/>
              </w:rPr>
              <w:t>registro</w:t>
            </w:r>
            <w:proofErr w:type="gramEnd"/>
            <w:r>
              <w:rPr>
                <w:rFonts w:eastAsia="Times New Roman"/>
                <w:shd w:val="clear" w:color="auto" w:fill="FFFF00"/>
                <w:lang w:eastAsia="pt-BR"/>
              </w:rPr>
              <w:t xml:space="preserve"> na ANVISA, </w:t>
            </w:r>
            <w:r>
              <w:rPr>
                <w:rFonts w:eastAsia="Times New Roman"/>
                <w:shd w:val="clear" w:color="auto" w:fill="FFFF00"/>
                <w:lang w:eastAsia="pt-BR"/>
              </w:rPr>
              <w:t>autorização de funcionamento, ART, inscrição no CREA, etc.).</w:t>
            </w:r>
          </w:p>
        </w:tc>
      </w:tr>
    </w:tbl>
    <w:p w14:paraId="7D52ADF0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28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5"/>
      </w:tblGrid>
      <w:tr w:rsidR="00677C51" w14:paraId="39CCDF51" w14:textId="77777777">
        <w:trPr>
          <w:trHeight w:val="585"/>
        </w:trPr>
        <w:tc>
          <w:tcPr>
            <w:tcW w:w="9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7E7BFE7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lastRenderedPageBreak/>
              <w:t xml:space="preserve">Nota explicativa 8 </w:t>
            </w:r>
          </w:p>
          <w:p w14:paraId="40B9FA87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bookmarkStart w:id="0" w:name="47476"/>
            <w:bookmarkEnd w:id="0"/>
            <w:r>
              <w:rPr>
                <w:rFonts w:eastAsia="Times New Roman"/>
                <w:shd w:val="clear" w:color="auto" w:fill="FFFF00"/>
                <w:lang w:eastAsia="pt-BR"/>
              </w:rPr>
              <w:t xml:space="preserve">Recomenda-se, nas contratações de prestações de serviços e de fornecimento parcelado de bens a juntada de: </w:t>
            </w: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a)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cópia do Balanço Patrimonial e demonstrações contábeis do últim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o exercício social, já exigíveis e apresentados na forma da lei, que comprovem a boa situação financeira da empresa; </w:t>
            </w:r>
            <w:r>
              <w:rPr>
                <w:rFonts w:eastAsia="Times New Roman"/>
                <w:b/>
                <w:bCs/>
                <w:color w:val="000000"/>
                <w:shd w:val="clear" w:color="auto" w:fill="FFFF00"/>
                <w:lang w:eastAsia="pt-BR"/>
              </w:rPr>
              <w:t xml:space="preserve">b)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para pessoa jurídica, certidão negativa de falência ou concordata expedida pelo distribuidor da sede da empresa; para pessoa física, cer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tidão negativa de execução patrimonial expedida pelo distribuidor de seu domicílio.</w:t>
            </w:r>
          </w:p>
        </w:tc>
      </w:tr>
    </w:tbl>
    <w:p w14:paraId="039FEAD7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214CC2F0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900E75D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Nota explicativa 9 </w:t>
            </w:r>
          </w:p>
          <w:p w14:paraId="22B8A989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Nos termos do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. 9º da Medida Provisória nº 1.047/2021: "Na hipótese de haver restrição de fornecedores ou de prestadores de serviço, a autoridade competente,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excepcionalmente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 e mediante justificativa, poderá dispensar o cumprimento de um ou mais requisi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tos de habilitação, ressalvados a exigência de apresentação de prova de regularidade trabalhista e o cumprimento do disposto no inciso XXXIII do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hd w:val="clear" w:color="auto" w:fill="FFFF00"/>
                <w:lang w:eastAsia="pt-BR"/>
              </w:rPr>
              <w:t>caput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 do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. 7º e no § 3º do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. 195 da Constituição.” </w:t>
            </w:r>
          </w:p>
        </w:tc>
      </w:tr>
    </w:tbl>
    <w:p w14:paraId="18DF46AF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51BF9503" w14:textId="77777777">
        <w:trPr>
          <w:trHeight w:val="1380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8A764B7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Nota explicativa 10 </w:t>
            </w:r>
          </w:p>
          <w:p w14:paraId="58CFA2B6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shd w:val="clear" w:color="auto" w:fill="FFFF00"/>
                <w:lang w:eastAsia="pt-BR"/>
              </w:rPr>
              <w:t xml:space="preserve">Nos termos do § 2º, do </w:t>
            </w:r>
            <w:proofErr w:type="spellStart"/>
            <w:r>
              <w:rPr>
                <w:rFonts w:eastAsia="Times New Roman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hd w:val="clear" w:color="auto" w:fill="FFFF00"/>
                <w:lang w:eastAsia="pt-BR"/>
              </w:rPr>
              <w:t>. 8º</w:t>
            </w:r>
            <w:r>
              <w:rPr>
                <w:rFonts w:eastAsia="Times New Roman"/>
                <w:shd w:val="clear" w:color="auto" w:fill="FFFF00"/>
                <w:lang w:eastAsia="pt-BR"/>
              </w:rPr>
              <w:t xml:space="preserve"> da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Medida Provisória nº 1.047/2021</w:t>
            </w:r>
            <w:r>
              <w:rPr>
                <w:rFonts w:eastAsia="Times New Roman"/>
                <w:shd w:val="clear" w:color="auto" w:fill="FFFF00"/>
                <w:lang w:eastAsia="pt-BR"/>
              </w:rPr>
              <w:t xml:space="preserve">: “Será dispensada, </w:t>
            </w:r>
            <w:proofErr w:type="spellStart"/>
            <w:r>
              <w:rPr>
                <w:rFonts w:eastAsia="Times New Roman"/>
                <w:shd w:val="clear" w:color="auto" w:fill="FFFF00"/>
                <w:lang w:eastAsia="pt-BR"/>
              </w:rPr>
              <w:t>e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xcepcionalmente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, mediante justificativa da autoridade competente, a estimativa de preços de que trata o inciso VI do § 1º.” </w:t>
            </w:r>
          </w:p>
          <w:p w14:paraId="30A1FEFA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Além disso, conforme § 3º, do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. 8º da Medida Provisória nº 1.047/2021: “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Os preços obtidos a partir da estimativa de preços de que trata o inciso VI do § 1º não impedem a contratação pelo Poder Público por valores superiores decorrentes de oscilações ocasionadas pela variação de preços, desde que observadas as seguintes condiçõ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es: </w:t>
            </w:r>
            <w:r>
              <w:rPr>
                <w:color w:val="000000"/>
                <w:shd w:val="clear" w:color="auto" w:fill="FFFF00"/>
              </w:rPr>
              <w:t>I - negociação prévia com os demais fornecedores, segundo a ordem de classificação, para obtenção de condições mais vantajosas; e II - fundamentação, nos autos do processo administrativo da contratação correspondente, da variação de preços praticados n</w:t>
            </w:r>
            <w:r>
              <w:rPr>
                <w:color w:val="000000"/>
                <w:shd w:val="clear" w:color="auto" w:fill="FFFF00"/>
              </w:rPr>
              <w:t>o mercado por motivo superveniente.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”</w:t>
            </w:r>
          </w:p>
        </w:tc>
      </w:tr>
    </w:tbl>
    <w:p w14:paraId="3DC465E9" w14:textId="77777777" w:rsidR="00677C51" w:rsidRDefault="00677C51">
      <w:pPr>
        <w:shd w:val="clear" w:color="auto" w:fill="FFFFFF"/>
        <w:spacing w:before="57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5572CB98" w14:textId="77777777">
        <w:trPr>
          <w:trHeight w:val="1380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28682F9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t xml:space="preserve">Nota explicativa 11 </w:t>
            </w:r>
          </w:p>
          <w:p w14:paraId="6D5B5070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shd w:val="clear" w:color="auto" w:fill="FFFF00"/>
                <w:lang w:eastAsia="pt-BR"/>
              </w:rPr>
              <w:t xml:space="preserve">Nos termos do </w:t>
            </w:r>
            <w:proofErr w:type="spellStart"/>
            <w:r>
              <w:rPr>
                <w:rFonts w:eastAsia="Times New Roman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hd w:val="clear" w:color="auto" w:fill="FFFF00"/>
                <w:lang w:eastAsia="pt-BR"/>
              </w:rPr>
              <w:t xml:space="preserve">. 12 da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Medida Provisória nº 1.047/2021</w:t>
            </w:r>
            <w:r>
              <w:rPr>
                <w:rFonts w:eastAsia="Times New Roman"/>
                <w:shd w:val="clear" w:color="auto" w:fill="FFFF00"/>
                <w:lang w:eastAsia="pt-BR"/>
              </w:rPr>
              <w:t>: “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Fica autorizada a contratação de fornecedor exclusivo de bem ou de serviço de que trata esta Medida Provisória, inclusive no caso da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existência de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inidoneidade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 declarada ou de sanção de impedimento ou de suspensão para celebração de contrato com o Poder Público.”</w:t>
            </w:r>
          </w:p>
          <w:p w14:paraId="6329CB8D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Porém, neste caso, o parágrafo único do referido artigo exige o seguinte</w:t>
            </w:r>
            <w:proofErr w:type="gram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: ”Na</w:t>
            </w:r>
            <w:proofErr w:type="gram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 hipótese de que trata o </w:t>
            </w:r>
            <w:proofErr w:type="spellStart"/>
            <w:r>
              <w:rPr>
                <w:rFonts w:eastAsia="Times New Roman"/>
                <w:b/>
                <w:color w:val="000000"/>
                <w:shd w:val="clear" w:color="auto" w:fill="FFFF00"/>
                <w:lang w:eastAsia="pt-BR"/>
              </w:rPr>
              <w:t>caput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, é obrigatória a 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prestação de garantia nas modalidades previstas no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. 56 da Lei nº 8.666, de 1993, que não poderá exceder a dez por cento do valor do contrato.”</w:t>
            </w:r>
          </w:p>
        </w:tc>
      </w:tr>
    </w:tbl>
    <w:p w14:paraId="2FF96B39" w14:textId="77777777" w:rsidR="00677C51" w:rsidRDefault="00677C51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Layout w:type="fixed"/>
        <w:tblCellMar>
          <w:top w:w="57" w:type="dxa"/>
          <w:left w:w="3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677C51" w14:paraId="64DF821A" w14:textId="77777777">
        <w:trPr>
          <w:trHeight w:val="1380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E933DDB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hd w:val="clear" w:color="auto" w:fill="FFFF00"/>
                <w:lang w:eastAsia="pt-BR"/>
              </w:rPr>
              <w:lastRenderedPageBreak/>
              <w:t xml:space="preserve">Nota explicativa 12 </w:t>
            </w:r>
          </w:p>
          <w:p w14:paraId="41B8AD5C" w14:textId="77777777" w:rsidR="00677C51" w:rsidRDefault="00CD73FA">
            <w:pPr>
              <w:widowControl w:val="0"/>
              <w:spacing w:beforeAutospacing="1"/>
              <w:jc w:val="both"/>
            </w:pP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No caso de contratação internacional, deverão ser observadas as orientações contidas n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o item 3.6 do Parecer Referencial, destacando-se que a empresa estrangeira deverá atender, tanto quanto possível, </w:t>
            </w:r>
            <w:bookmarkStart w:id="1" w:name="4678355"/>
            <w:bookmarkEnd w:id="1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as exigências de habilitação mediante documentos equivalentes, autenticados pelos 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respectivos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 consulados e traduzidos por tradutor juramentado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, e deverá ter procurador residente e domiciliado no País, com poderes para receber citação, intimação e responder administrativa e judicialmente por seus atos, juntando os instrumentos de mandato com os demais documentos de habilitação (</w:t>
            </w:r>
            <w:proofErr w:type="spellStart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arts</w:t>
            </w:r>
            <w:proofErr w:type="spellEnd"/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>. 52 e 78, § 3</w:t>
            </w:r>
            <w:r>
              <w:rPr>
                <w:rFonts w:eastAsia="Times New Roman"/>
                <w:color w:val="000000"/>
                <w:shd w:val="clear" w:color="auto" w:fill="FFFF00"/>
                <w:lang w:eastAsia="pt-BR"/>
              </w:rPr>
              <w:t xml:space="preserve">º, ambos da Lei Estadual nº 15.608/2007). </w:t>
            </w:r>
          </w:p>
        </w:tc>
      </w:tr>
    </w:tbl>
    <w:p w14:paraId="6D8F1DEC" w14:textId="77777777" w:rsidR="00677C51" w:rsidRDefault="00677C51"/>
    <w:tbl>
      <w:tblPr>
        <w:tblW w:w="93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78"/>
        <w:gridCol w:w="4612"/>
      </w:tblGrid>
      <w:tr w:rsidR="00677C51" w14:paraId="111036C9" w14:textId="77777777">
        <w:trPr>
          <w:trHeight w:val="225"/>
        </w:trPr>
        <w:tc>
          <w:tcPr>
            <w:tcW w:w="4610" w:type="dxa"/>
            <w:shd w:val="clear" w:color="auto" w:fill="FFFFFF"/>
            <w:vAlign w:val="bottom"/>
          </w:tcPr>
          <w:p w14:paraId="267BD7F4" w14:textId="77777777" w:rsidR="00677C51" w:rsidRDefault="00677C51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781870CC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_____________, ___ de ________ </w:t>
            </w:r>
            <w:proofErr w:type="spellStart"/>
            <w:r>
              <w:rPr>
                <w:rFonts w:eastAsia="Times New Roman"/>
                <w:lang w:eastAsia="pt-BR"/>
              </w:rPr>
              <w:t>de</w:t>
            </w:r>
            <w:proofErr w:type="spellEnd"/>
            <w:r>
              <w:rPr>
                <w:rFonts w:eastAsia="Times New Roman"/>
                <w:lang w:eastAsia="pt-BR"/>
              </w:rPr>
              <w:t xml:space="preserve"> _____.</w:t>
            </w:r>
          </w:p>
        </w:tc>
        <w:tc>
          <w:tcPr>
            <w:tcW w:w="78" w:type="dxa"/>
            <w:shd w:val="clear" w:color="auto" w:fill="FFFFFF"/>
            <w:vAlign w:val="bottom"/>
          </w:tcPr>
          <w:p w14:paraId="5CAC350C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4612" w:type="dxa"/>
            <w:shd w:val="clear" w:color="auto" w:fill="FFFFFF"/>
            <w:vAlign w:val="bottom"/>
          </w:tcPr>
          <w:p w14:paraId="557BFFC6" w14:textId="77777777" w:rsidR="00677C51" w:rsidRDefault="00CD73FA">
            <w:pPr>
              <w:widowControl w:val="0"/>
              <w:spacing w:beforeAutospacing="1"/>
              <w:ind w:left="17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_____________, ___ de ________ </w:t>
            </w:r>
            <w:proofErr w:type="spellStart"/>
            <w:r>
              <w:rPr>
                <w:rFonts w:eastAsia="Times New Roman"/>
                <w:lang w:eastAsia="pt-BR"/>
              </w:rPr>
              <w:t>de</w:t>
            </w:r>
            <w:proofErr w:type="spellEnd"/>
            <w:r>
              <w:rPr>
                <w:rFonts w:eastAsia="Times New Roman"/>
                <w:lang w:eastAsia="pt-BR"/>
              </w:rPr>
              <w:t xml:space="preserve"> _____.</w:t>
            </w:r>
          </w:p>
        </w:tc>
      </w:tr>
      <w:tr w:rsidR="00677C51" w14:paraId="598A2C9B" w14:textId="77777777">
        <w:trPr>
          <w:trHeight w:val="465"/>
        </w:trPr>
        <w:tc>
          <w:tcPr>
            <w:tcW w:w="461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14:paraId="3612670E" w14:textId="77777777" w:rsidR="00677C51" w:rsidRDefault="00CD73FA">
            <w:pPr>
              <w:widowControl w:val="0"/>
              <w:spacing w:before="40"/>
              <w:ind w:left="85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>(local)</w:t>
            </w:r>
          </w:p>
        </w:tc>
        <w:tc>
          <w:tcPr>
            <w:tcW w:w="78" w:type="dxa"/>
            <w:shd w:val="clear" w:color="auto" w:fill="FFFFFF"/>
          </w:tcPr>
          <w:p w14:paraId="7B085A1A" w14:textId="77777777" w:rsidR="00677C51" w:rsidRDefault="00677C51">
            <w:pPr>
              <w:widowControl w:val="0"/>
              <w:spacing w:before="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46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14:paraId="0A75855E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lang w:eastAsia="pt-BR"/>
              </w:rPr>
              <w:t>(local)</w:t>
            </w:r>
          </w:p>
        </w:tc>
      </w:tr>
      <w:tr w:rsidR="00677C51" w14:paraId="1F2DDA14" w14:textId="77777777">
        <w:trPr>
          <w:trHeight w:val="1673"/>
        </w:trPr>
        <w:tc>
          <w:tcPr>
            <w:tcW w:w="4610" w:type="dxa"/>
            <w:tcBorders>
              <w:top w:val="single" w:sz="6" w:space="0" w:color="00000A"/>
            </w:tcBorders>
            <w:shd w:val="clear" w:color="auto" w:fill="FFFFFF"/>
          </w:tcPr>
          <w:p w14:paraId="24DE1EC3" w14:textId="77777777" w:rsidR="00677C51" w:rsidRDefault="00CD73FA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hd w:val="clear" w:color="auto" w:fill="FFFF00"/>
                <w:lang w:eastAsia="pt-BR"/>
              </w:rPr>
              <w:t>[Nome e assinatura do servidor responsável pelo preenchimento]</w:t>
            </w:r>
          </w:p>
          <w:p w14:paraId="784EDA41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78" w:type="dxa"/>
            <w:shd w:val="clear" w:color="auto" w:fill="FFFFFF"/>
          </w:tcPr>
          <w:p w14:paraId="0417F165" w14:textId="77777777" w:rsidR="00677C51" w:rsidRDefault="00677C51">
            <w:pPr>
              <w:widowControl w:val="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59453E2" w14:textId="77777777" w:rsidR="00677C51" w:rsidRDefault="00677C51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4612" w:type="dxa"/>
            <w:tcBorders>
              <w:top w:val="single" w:sz="6" w:space="0" w:color="00000A"/>
            </w:tcBorders>
            <w:shd w:val="clear" w:color="auto" w:fill="FFFFFF"/>
          </w:tcPr>
          <w:p w14:paraId="4662D4AD" w14:textId="77777777" w:rsidR="00677C51" w:rsidRDefault="00CD73FA">
            <w:pPr>
              <w:widowControl w:val="0"/>
              <w:spacing w:beforeAutospacing="1" w:afterAutospacing="1"/>
              <w:jc w:val="both"/>
            </w:pPr>
            <w:r>
              <w:rPr>
                <w:rFonts w:eastAsia="Times New Roman"/>
                <w:shd w:val="clear" w:color="auto" w:fill="FFFF00"/>
                <w:lang w:eastAsia="pt-BR"/>
              </w:rPr>
              <w:t>[Nome e assinatura do chefe do setor</w:t>
            </w:r>
          </w:p>
          <w:p w14:paraId="5885C6F0" w14:textId="77777777" w:rsidR="00677C51" w:rsidRDefault="00CD73FA">
            <w:pPr>
              <w:widowControl w:val="0"/>
              <w:spacing w:beforeAutospacing="1"/>
              <w:jc w:val="both"/>
              <w:rPr>
                <w:rFonts w:eastAsia="Times New Roman"/>
                <w:sz w:val="24"/>
                <w:szCs w:val="24"/>
                <w:shd w:val="clear" w:color="auto" w:fill="FFFF00"/>
                <w:lang w:eastAsia="pt-BR"/>
              </w:rPr>
            </w:pPr>
            <w:r>
              <w:rPr>
                <w:rFonts w:eastAsia="Times New Roman"/>
                <w:shd w:val="clear" w:color="auto" w:fill="FFFF00"/>
                <w:lang w:eastAsia="pt-BR"/>
              </w:rPr>
              <w:t>competente]</w:t>
            </w:r>
          </w:p>
        </w:tc>
      </w:tr>
    </w:tbl>
    <w:p w14:paraId="3D13F287" w14:textId="77777777" w:rsidR="00677C51" w:rsidRDefault="00677C51">
      <w:pPr>
        <w:pStyle w:val="PargrafodaLista"/>
        <w:shd w:val="clear" w:color="auto" w:fill="EEECE1" w:themeFill="background2"/>
        <w:overflowPunct w:val="0"/>
        <w:spacing w:before="280" w:after="160"/>
        <w:ind w:left="0" w:firstLine="0"/>
        <w:contextualSpacing/>
        <w:jc w:val="center"/>
      </w:pPr>
    </w:p>
    <w:sectPr w:rsidR="00677C51">
      <w:headerReference w:type="default" r:id="rId7"/>
      <w:footerReference w:type="default" r:id="rId8"/>
      <w:pgSz w:w="12540" w:h="17640"/>
      <w:pgMar w:top="2960" w:right="1640" w:bottom="1382" w:left="1740" w:header="330" w:footer="1325" w:gutter="0"/>
      <w:cols w:space="720"/>
      <w:formProt w:val="0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01E1" w14:textId="77777777" w:rsidR="00CD73FA" w:rsidRDefault="00CD73FA">
      <w:pPr>
        <w:spacing w:line="240" w:lineRule="auto"/>
      </w:pPr>
      <w:r>
        <w:separator/>
      </w:r>
    </w:p>
  </w:endnote>
  <w:endnote w:type="continuationSeparator" w:id="0">
    <w:p w14:paraId="481EA62D" w14:textId="77777777" w:rsidR="00CD73FA" w:rsidRDefault="00CD7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Segoe UI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B9F" w14:textId="77777777" w:rsidR="00677C51" w:rsidRDefault="00677C51">
    <w:pPr>
      <w:pStyle w:val="Corpodetexto1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505B" w14:textId="77777777" w:rsidR="00CD73FA" w:rsidRDefault="00CD73FA">
      <w:pPr>
        <w:spacing w:line="240" w:lineRule="auto"/>
      </w:pPr>
      <w:r>
        <w:separator/>
      </w:r>
    </w:p>
  </w:footnote>
  <w:footnote w:type="continuationSeparator" w:id="0">
    <w:p w14:paraId="5D05148F" w14:textId="77777777" w:rsidR="00CD73FA" w:rsidRDefault="00CD7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E3ED" w14:textId="77777777" w:rsidR="00677C51" w:rsidRDefault="00677C51">
    <w:pPr>
      <w:pStyle w:val="Corpodetexto1"/>
      <w:spacing w:line="4" w:lineRule="auto"/>
      <w:rPr>
        <w:sz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51"/>
    <w:rsid w:val="00677C51"/>
    <w:rsid w:val="007A135A"/>
    <w:rsid w:val="00C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8226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Arial" w:eastAsia="Arial" w:hAnsi="Arial" w:cs="Arial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01" w:right="90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2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25169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semiHidden/>
    <w:qFormat/>
    <w:rsid w:val="002927EC"/>
    <w:rPr>
      <w:rFonts w:ascii="Arial" w:eastAsia="Arial" w:hAnsi="Arial" w:cs="Arial"/>
      <w:sz w:val="20"/>
      <w:szCs w:val="20"/>
      <w:lang w:val="pt-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2927EC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27EC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27EC"/>
    <w:rPr>
      <w:rFonts w:ascii="Arial" w:eastAsia="Arial" w:hAnsi="Arial" w:cs="Arial"/>
      <w:lang w:val="pt-PT"/>
    </w:rPr>
  </w:style>
  <w:style w:type="character" w:customStyle="1" w:styleId="LinkdaInternet">
    <w:name w:val="Link da Internet"/>
    <w:basedOn w:val="Fontepargpadro"/>
    <w:semiHidden/>
    <w:unhideWhenUsed/>
    <w:rsid w:val="00426F2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41D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1E584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225169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225169"/>
    <w:rPr>
      <w:i/>
      <w:iCs/>
    </w:rPr>
  </w:style>
  <w:style w:type="character" w:customStyle="1" w:styleId="Fontepargpadro1">
    <w:name w:val="Fonte parág. padrão1"/>
    <w:qFormat/>
    <w:rsid w:val="00225169"/>
  </w:style>
  <w:style w:type="character" w:customStyle="1" w:styleId="CorpodetextoChar">
    <w:name w:val="Corpo de texto Char"/>
    <w:basedOn w:val="Fontepargpadro"/>
    <w:link w:val="Corpodetexto1"/>
    <w:qFormat/>
    <w:rsid w:val="00225169"/>
    <w:rPr>
      <w:rFonts w:ascii="Arial" w:eastAsia="Arial" w:hAnsi="Arial" w:cs="Arial"/>
      <w:sz w:val="24"/>
      <w:szCs w:val="24"/>
      <w:lang w:val="pt-PT"/>
    </w:rPr>
  </w:style>
  <w:style w:type="character" w:customStyle="1" w:styleId="fontstyle01">
    <w:name w:val="fontstyle01"/>
    <w:qFormat/>
    <w:rsid w:val="00225169"/>
    <w:rPr>
      <w:rFonts w:ascii="Times-Roman" w:hAnsi="Times-Roman" w:cs="Times-Roman"/>
      <w:b w:val="0"/>
      <w:bCs w:val="0"/>
      <w:i w:val="0"/>
      <w:iCs w:val="0"/>
      <w:color w:val="000000"/>
      <w:sz w:val="18"/>
      <w:szCs w:val="18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DD1F01"/>
    <w:rPr>
      <w:lang w:val="pt-BR"/>
    </w:rPr>
  </w:style>
  <w:style w:type="character" w:customStyle="1" w:styleId="Caracteresdenotaderodap">
    <w:name w:val="Caracteres de nota de rodapé"/>
    <w:qFormat/>
    <w:rsid w:val="00BD4267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texto1">
    <w:name w:val="Corpo de texto1"/>
    <w:basedOn w:val="Normal"/>
    <w:link w:val="CorpodetextoChar"/>
    <w:qFormat/>
    <w:rPr>
      <w:sz w:val="24"/>
      <w:szCs w:val="24"/>
    </w:rPr>
  </w:style>
  <w:style w:type="paragraph" w:styleId="Lista">
    <w:name w:val="List"/>
    <w:basedOn w:val="Corpodetexto1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9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7"/>
    </w:pPr>
    <w:rPr>
      <w:rFonts w:ascii="Segoe UI" w:eastAsia="Segoe UI" w:hAnsi="Segoe UI" w:cs="Segoe UI"/>
    </w:rPr>
  </w:style>
  <w:style w:type="paragraph" w:customStyle="1" w:styleId="Textodenotaderodap1">
    <w:name w:val="Texto de nota de rodapé1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27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27E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26F2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qFormat/>
    <w:rsid w:val="00225169"/>
    <w:pPr>
      <w:spacing w:line="259" w:lineRule="auto"/>
      <w:textAlignment w:val="baseline"/>
    </w:pPr>
    <w:rPr>
      <w:rFonts w:eastAsia="SimSun, 宋体" w:cs="Arial"/>
      <w:color w:val="00000A"/>
      <w:sz w:val="24"/>
    </w:rPr>
  </w:style>
  <w:style w:type="paragraph" w:customStyle="1" w:styleId="Contedodoquadro">
    <w:name w:val="Conteúdo do quadro"/>
    <w:basedOn w:val="Standard"/>
    <w:qFormat/>
    <w:rsid w:val="00225169"/>
    <w:rPr>
      <w:rFonts w:eastAsia="SimSun" w:cs="Mangal"/>
    </w:rPr>
  </w:style>
  <w:style w:type="paragraph" w:customStyle="1" w:styleId="Contedodatabela">
    <w:name w:val="Conteúdo da tabela"/>
    <w:basedOn w:val="Standard"/>
    <w:qFormat/>
    <w:rsid w:val="00225169"/>
    <w:pPr>
      <w:suppressLineNumbers/>
    </w:pPr>
    <w:rPr>
      <w:rFonts w:eastAsia="SimSun"/>
    </w:rPr>
  </w:style>
  <w:style w:type="paragraph" w:customStyle="1" w:styleId="text-align-center">
    <w:name w:val="text-align-center"/>
    <w:basedOn w:val="Normal"/>
    <w:qFormat/>
    <w:rsid w:val="0022516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AlvaraCorpoSParag">
    <w:name w:val="AlvaraCorpoSParag"/>
    <w:basedOn w:val="Normal"/>
    <w:qFormat/>
    <w:rsid w:val="00225169"/>
    <w:pPr>
      <w:jc w:val="both"/>
    </w:pPr>
    <w:rPr>
      <w:rFonts w:eastAsia="Times New Roman"/>
      <w:sz w:val="24"/>
      <w:szCs w:val="24"/>
      <w:lang w:val="pt-BR" w:eastAsia="zh-CN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qFormat/>
    <w:rsid w:val="00DD1F01"/>
    <w:pPr>
      <w:spacing w:after="120"/>
      <w:ind w:left="283"/>
    </w:pPr>
    <w:rPr>
      <w:rFonts w:asciiTheme="minorHAnsi" w:eastAsiaTheme="minorHAnsi" w:hAnsiTheme="minorHAnsi" w:cstheme="minorBidi"/>
      <w:lang w:val="pt-BR"/>
    </w:rPr>
  </w:style>
  <w:style w:type="paragraph" w:customStyle="1" w:styleId="Estiloaa">
    <w:name w:val="Estiloaa"/>
    <w:qFormat/>
    <w:rsid w:val="00DD1F01"/>
    <w:pPr>
      <w:tabs>
        <w:tab w:val="left" w:pos="720"/>
      </w:tabs>
      <w:spacing w:before="240" w:line="259" w:lineRule="auto"/>
      <w:jc w:val="both"/>
    </w:pPr>
    <w:rPr>
      <w:rFonts w:ascii="Arial" w:eastAsia="Arial" w:hAnsi="Arial" w:cs="Times New Roman"/>
      <w:color w:val="00000A"/>
      <w:sz w:val="24"/>
      <w:szCs w:val="20"/>
      <w:lang w:bidi="ar-SA"/>
    </w:rPr>
  </w:style>
  <w:style w:type="paragraph" w:customStyle="1" w:styleId="Textbody">
    <w:name w:val="Text body"/>
    <w:basedOn w:val="Normal"/>
    <w:qFormat/>
    <w:rsid w:val="00C212B1"/>
    <w:pPr>
      <w:spacing w:after="140" w:line="288" w:lineRule="auto"/>
    </w:pPr>
    <w:rPr>
      <w:rFonts w:ascii="Myriad Pro" w:eastAsia="SimSun" w:hAnsi="Myriad Pro" w:cs="Mangal"/>
      <w:sz w:val="24"/>
      <w:szCs w:val="24"/>
      <w:lang w:val="pt-BR" w:eastAsia="zh-CN" w:bidi="hi-IN"/>
    </w:rPr>
  </w:style>
  <w:style w:type="paragraph" w:customStyle="1" w:styleId="BodyText21">
    <w:name w:val="Body Text 21"/>
    <w:basedOn w:val="Standard"/>
    <w:qFormat/>
    <w:rsid w:val="00BD4267"/>
    <w:pPr>
      <w:jc w:val="both"/>
    </w:pPr>
    <w:rPr>
      <w:rFonts w:ascii="Arial" w:eastAsia="Arial" w:hAnsi="Arial"/>
      <w:lang w:bidi="ar-SA"/>
    </w:rPr>
  </w:style>
  <w:style w:type="paragraph" w:customStyle="1" w:styleId="Textodocorpo1">
    <w:name w:val="Texto do corpo1"/>
    <w:basedOn w:val="Normal"/>
    <w:qFormat/>
    <w:rsid w:val="00BD4267"/>
    <w:rPr>
      <w:rFonts w:ascii="Arial Narrow" w:eastAsia="Times New Roman" w:hAnsi="Arial Narrow" w:cs="Arial Narrow"/>
      <w:sz w:val="17"/>
      <w:szCs w:val="17"/>
      <w:shd w:val="clear" w:color="auto" w:fill="FFFFFF"/>
      <w:lang w:val="pt-BR" w:eastAsia="pt-BR"/>
    </w:rPr>
  </w:style>
  <w:style w:type="paragraph" w:customStyle="1" w:styleId="Ttulodetabela">
    <w:name w:val="Título de tabela"/>
    <w:basedOn w:val="Contedodatabela"/>
    <w:qFormat/>
  </w:style>
  <w:style w:type="paragraph" w:customStyle="1" w:styleId="western1">
    <w:name w:val="western1"/>
    <w:basedOn w:val="Normal"/>
    <w:qFormat/>
    <w:pPr>
      <w:spacing w:before="280" w:after="280"/>
    </w:pPr>
    <w:rPr>
      <w:rFonts w:ascii="Liberation Serif" w:eastAsia="Times New Roman" w:hAnsi="Liberation Serif" w:cs="Liberation Serif"/>
      <w:sz w:val="24"/>
      <w:szCs w:val="24"/>
      <w:lang w:val="pt-BR" w:eastAsia="pt-BR"/>
    </w:rPr>
  </w:style>
  <w:style w:type="paragraph" w:customStyle="1" w:styleId="western">
    <w:name w:val="western"/>
    <w:basedOn w:val="Normal"/>
    <w:qFormat/>
    <w:pPr>
      <w:spacing w:before="280" w:after="280"/>
    </w:pPr>
    <w:rPr>
      <w:rFonts w:eastAsia="Times New Roman"/>
      <w:sz w:val="24"/>
      <w:szCs w:val="24"/>
      <w:lang w:val="pt-BR" w:eastAsia="pt-BR"/>
    </w:rPr>
  </w:style>
  <w:style w:type="numbering" w:customStyle="1" w:styleId="WW8Num10">
    <w:name w:val="WW8Num10"/>
    <w:qFormat/>
    <w:rsid w:val="0022516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89FF-84FC-49F6-912F-FB0A5564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8939</Characters>
  <Application>Microsoft Office Word</Application>
  <DocSecurity>0</DocSecurity>
  <Lines>74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bonatto</dc:creator>
  <dc:description/>
  <cp:lastModifiedBy>hamilton bonatto</cp:lastModifiedBy>
  <cp:revision>2</cp:revision>
  <cp:lastPrinted>2020-03-23T13:25:00Z</cp:lastPrinted>
  <dcterms:created xsi:type="dcterms:W3CDTF">2021-07-07T18:32:00Z</dcterms:created>
  <dcterms:modified xsi:type="dcterms:W3CDTF">2021-07-07T18:32:00Z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pdfsam-console (Ver. 2.4.1e)</vt:lpwstr>
  </property>
  <property fmtid="{D5CDD505-2E9C-101B-9397-08002B2CF9AE}" pid="4" name="HyperlinksChanged">
    <vt:bool>false</vt:bool>
  </property>
  <property fmtid="{D5CDD505-2E9C-101B-9397-08002B2CF9AE}" pid="5" name="LastSaved">
    <vt:filetime>2020-03-21T00:00:00Z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