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5E5B" w14:textId="77777777" w:rsidR="00C152B3" w:rsidRDefault="00C152B3"/>
    <w:p w14:paraId="2275993C" w14:textId="77777777" w:rsidR="00C152B3" w:rsidRDefault="00C14C62">
      <w:pPr>
        <w:pStyle w:val="PargrafodaLista"/>
        <w:widowControl/>
        <w:shd w:val="clear" w:color="auto" w:fill="E7E6E6" w:themeFill="background2"/>
        <w:spacing w:after="160" w:line="259" w:lineRule="auto"/>
        <w:ind w:left="0" w:firstLine="0"/>
        <w:contextualSpacing/>
        <w:jc w:val="center"/>
        <w:rPr>
          <w:rFonts w:eastAsia="Calibri"/>
          <w:color w:val="00000A"/>
          <w:sz w:val="24"/>
          <w:szCs w:val="24"/>
          <w:lang w:val="pt-BR"/>
        </w:rPr>
      </w:pPr>
      <w:r>
        <w:rPr>
          <w:rFonts w:eastAsia="Calibri"/>
          <w:color w:val="00000A"/>
          <w:sz w:val="24"/>
          <w:szCs w:val="24"/>
          <w:lang w:val="pt-BR"/>
        </w:rPr>
        <w:t>ANEXO III - ANEXO À NOTA DE EMPENHO</w:t>
      </w:r>
    </w:p>
    <w:p w14:paraId="148453EA" w14:textId="77777777" w:rsidR="00C152B3" w:rsidRDefault="00C152B3">
      <w:pPr>
        <w:pStyle w:val="Cabealho"/>
        <w:widowControl/>
        <w:tabs>
          <w:tab w:val="left" w:pos="284"/>
        </w:tabs>
        <w:spacing w:line="360" w:lineRule="auto"/>
        <w:ind w:left="1560" w:right="113"/>
        <w:jc w:val="both"/>
        <w:rPr>
          <w:sz w:val="24"/>
        </w:rPr>
      </w:pPr>
    </w:p>
    <w:p w14:paraId="3393E591" w14:textId="77777777" w:rsidR="00C152B3" w:rsidRDefault="00C14C62">
      <w:pPr>
        <w:widowControl/>
        <w:spacing w:beforeAutospacing="1" w:after="159" w:line="259" w:lineRule="auto"/>
        <w:ind w:left="17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ANEXO À NOTA DE EMPENHO</w:t>
      </w:r>
    </w:p>
    <w:p w14:paraId="4BDAAFEF" w14:textId="77777777" w:rsidR="00C152B3" w:rsidRDefault="00C14C62">
      <w:pPr>
        <w:widowControl/>
        <w:spacing w:before="57" w:after="57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NOTA DE EMPENHO N°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XXXXXXXX </w:t>
      </w:r>
    </w:p>
    <w:p w14:paraId="1F9C4FE0" w14:textId="77777777" w:rsidR="00C152B3" w:rsidRDefault="00C14C62">
      <w:pPr>
        <w:widowControl/>
        <w:spacing w:before="57" w:after="57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VALOR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>XXXXXXXX</w:t>
      </w:r>
    </w:p>
    <w:p w14:paraId="4AB0F501" w14:textId="77777777" w:rsidR="00C152B3" w:rsidRDefault="00C152B3">
      <w:pPr>
        <w:widowControl/>
        <w:spacing w:before="57" w:after="240"/>
        <w:ind w:left="28"/>
        <w:jc w:val="both"/>
        <w:rPr>
          <w:rFonts w:eastAsia="Times New Roman"/>
          <w:sz w:val="24"/>
          <w:szCs w:val="24"/>
          <w:lang w:eastAsia="pt-BR"/>
        </w:rPr>
      </w:pPr>
    </w:p>
    <w:p w14:paraId="01B3FCC9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 DA VINCULAÇÃO AO TERMO DE DISPENSA DE LICITAÇÃO: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Integra este instrumento o Termo de Dispensa de Licitação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bem como o Descritivo da Proposta de Preços constantes do Protocolado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XXXXXXXX,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independentemente de transcrição. </w:t>
      </w:r>
    </w:p>
    <w:p w14:paraId="70F56131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PAGAMENTO: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pagamentos serão feitos no prazo máximo de 30 (trinta) dias da apresentação da nota fiscal atestada e do Certificado de Regularidade Fiscal (CRF),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emitido pelo Sistema de Gestão de Materiais, Obras e Serviços (GMS), destinado a comprovar a regularidade com os Fiscos Federal, Estadual (inclusive do Estado do Paraná para licitantes sediados em outro Estado da Federação) e Municipal, com o FGTS, o INSS e a negativa 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débitos trabalhistas (CNDT), observadas as disposições do Termo de Dispensa de Licitação.</w:t>
      </w:r>
    </w:p>
    <w:p w14:paraId="109E7B29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2.1 </w:t>
      </w:r>
      <w:r>
        <w:rPr>
          <w:rFonts w:eastAsia="Times New Roman"/>
          <w:color w:val="000000"/>
          <w:sz w:val="24"/>
          <w:szCs w:val="24"/>
          <w:lang w:eastAsia="pt-BR"/>
        </w:rPr>
        <w:t>Nenhum pagamento será efetuado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t-BR"/>
        </w:rPr>
        <w:t>sem a apresentação dos documentos exigidos, bem como enquanto não forem sanadas irregularidades eventualmente constatadas na nota fiscal, no fornecimento dos bens ou no cumprimento de obrigações contratuais.</w:t>
      </w:r>
    </w:p>
    <w:p w14:paraId="2AE77CB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2.2 </w:t>
      </w:r>
      <w:r>
        <w:rPr>
          <w:rFonts w:eastAsia="Times New Roman"/>
          <w:color w:val="000000"/>
          <w:sz w:val="24"/>
          <w:szCs w:val="24"/>
          <w:lang w:eastAsia="pt-BR"/>
        </w:rPr>
        <w:t>Os pagamentos ficarão condicionados à prévia informação pelo credor, dos dados da conta-corrente junto à instituição financeira contratada pelo Estado, conforme o disposto no Decreto Estadual n.º 4.505/2016, ressalvadas as exceções previstas no mesmo regulamento.</w:t>
      </w:r>
    </w:p>
    <w:p w14:paraId="0DA8EB8D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2.3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Nos casos de eventuais atrasos de pagamento, desde que a Contratada não tenha concorrido para tanto, fica convencionado que a taxa de compensação financeira devida pela Contratante, entre a data do vencimento e o efetivo adimplemento da parcela, é calculada mediante a aplicação da seguinte fórmula:</w:t>
      </w:r>
    </w:p>
    <w:p w14:paraId="24613CFE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I x N x VP, sendo:</w:t>
      </w:r>
    </w:p>
    <w:p w14:paraId="416D9BAA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Encargos moratórios;</w:t>
      </w:r>
    </w:p>
    <w:p w14:paraId="24F995DC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 = Número de dias entre a data prevista para o pagamento e a do efetivo pagamento;</w:t>
      </w:r>
    </w:p>
    <w:p w14:paraId="15F6EF3E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VP = Valor da parcela a ser paga.</w:t>
      </w:r>
    </w:p>
    <w:p w14:paraId="3D44DA97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 = Índice de compensação financeira = 0,00016438, assim apurado:</w:t>
      </w:r>
    </w:p>
    <w:tbl>
      <w:tblPr>
        <w:tblW w:w="930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735"/>
        <w:gridCol w:w="6037"/>
      </w:tblGrid>
      <w:tr w:rsidR="00C152B3" w14:paraId="1DB69E88" w14:textId="77777777">
        <w:trPr>
          <w:trHeight w:val="705"/>
        </w:trPr>
        <w:tc>
          <w:tcPr>
            <w:tcW w:w="1528" w:type="dxa"/>
            <w:shd w:val="clear" w:color="auto" w:fill="FFFFFF"/>
            <w:vAlign w:val="center"/>
          </w:tcPr>
          <w:p w14:paraId="1582AE1F" w14:textId="77777777" w:rsidR="00C152B3" w:rsidRDefault="00C14C62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pt-BR" w:eastAsia="pt-BR"/>
              </w:rPr>
              <w:lastRenderedPageBreak/>
              <w:t>I = (TX)</w:t>
            </w:r>
          </w:p>
          <w:p w14:paraId="515E97E1" w14:textId="77777777" w:rsidR="00C152B3" w:rsidRDefault="00C152B3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735" w:type="dxa"/>
            <w:shd w:val="clear" w:color="auto" w:fill="FFFFFF"/>
            <w:vAlign w:val="center"/>
          </w:tcPr>
          <w:p w14:paraId="34F56A8E" w14:textId="77777777" w:rsidR="00C152B3" w:rsidRDefault="00C152B3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14:paraId="46059EEE" w14:textId="77777777" w:rsidR="00C152B3" w:rsidRDefault="00C14C62">
            <w:pPr>
              <w:widowControl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pt-BR"/>
              </w:rPr>
              <w:t xml:space="preserve">I =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 w:eastAsia="pt-BR"/>
              </w:rPr>
              <w:t>(6/100)</w:t>
            </w:r>
          </w:p>
          <w:p w14:paraId="60AEE607" w14:textId="3979F0E5" w:rsidR="00C152B3" w:rsidRDefault="001657EF">
            <w:pPr>
              <w:widowControl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       </w:t>
            </w:r>
            <w:r w:rsidR="00C14C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365</w:t>
            </w:r>
          </w:p>
          <w:p w14:paraId="30BB8504" w14:textId="77777777" w:rsidR="00C152B3" w:rsidRDefault="00C152B3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037" w:type="dxa"/>
            <w:shd w:val="clear" w:color="auto" w:fill="FFFFFF"/>
            <w:vAlign w:val="center"/>
          </w:tcPr>
          <w:p w14:paraId="24EAC891" w14:textId="77777777" w:rsidR="00C152B3" w:rsidRDefault="00C14C62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I = 0,00016438</w:t>
            </w:r>
          </w:p>
          <w:p w14:paraId="5E1D1B8B" w14:textId="77777777" w:rsidR="00C152B3" w:rsidRDefault="00C14C62">
            <w:pPr>
              <w:widowControl/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TX = Percentual da taxa anual = 6%.</w:t>
            </w:r>
          </w:p>
        </w:tc>
      </w:tr>
    </w:tbl>
    <w:p w14:paraId="01EC84A0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3 DAS OBRIGAÇÕES E RESPONSABILIDADES DO FORNECEDOR: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o fornecedor deverá efetuar a entrega do objeto em perfeitas condições, conforme especificações, prazo e local constantes no Termo de Dispensa de Licitação, acompanhado da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respectiva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 nota fiscal, na qual constarão, as indicações referentes a: marca, fabricante, modelo, procedência e prazo de garantia ou validade, e acompanhado do manual do usuário, com uma versão em português e da relação da rede de assistência técnica autorizada, quando aplicável;</w:t>
      </w:r>
    </w:p>
    <w:p w14:paraId="69A8B0F5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3.1 </w:t>
      </w:r>
      <w:r>
        <w:rPr>
          <w:rFonts w:eastAsia="Times New Roman"/>
          <w:color w:val="000000"/>
          <w:sz w:val="24"/>
          <w:szCs w:val="24"/>
          <w:lang w:eastAsia="pt-BR"/>
        </w:rPr>
        <w:t>o fornecedor deverá responsabilizar-se pelos vícios e danos decorrentes do objeto, de acordo com os artigos 12, 13 e 17 a 27, do Código de Defesa do Consumidor (Lei Federal nº 8.078/1990);</w:t>
      </w:r>
    </w:p>
    <w:p w14:paraId="0799A81D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3.2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deverá substituir, reparar ou corrigir, às suas expensas, no prazo fixado no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Termo de Dispensa de Licitação</w:t>
      </w:r>
      <w:r>
        <w:rPr>
          <w:rFonts w:eastAsia="Times New Roman"/>
          <w:color w:val="000000"/>
          <w:sz w:val="24"/>
          <w:szCs w:val="24"/>
          <w:lang w:eastAsia="pt-BR"/>
        </w:rPr>
        <w:t>, o objeto com avarias ou defeitos;</w:t>
      </w:r>
    </w:p>
    <w:p w14:paraId="2CD30361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3.3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deverá comunicar à Administração, no prazo máximo de 24 (vinte e quatro) horas que antecede a data da entrega, os motivos que impossibilitem o cumprimento do prazo previsto, com a devida comprovação;</w:t>
      </w:r>
    </w:p>
    <w:p w14:paraId="36356579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3.4 </w:t>
      </w:r>
      <w:r>
        <w:rPr>
          <w:rFonts w:eastAsia="Times New Roman"/>
          <w:color w:val="000000"/>
          <w:sz w:val="24"/>
          <w:szCs w:val="24"/>
          <w:lang w:eastAsia="pt-BR"/>
        </w:rPr>
        <w:t>o fornecedor deverá indicar preposto para representá-lo durante a execução do contrato;</w:t>
      </w:r>
    </w:p>
    <w:p w14:paraId="3982A681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3.5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deverá manter durante toda a vigência do contrato, em compatibilidade com as obrigações assumidas, todas as condições de habilitação e qualificação exigidas no procedimento de contratação;</w:t>
      </w:r>
    </w:p>
    <w:p w14:paraId="643A6AA5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3.6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deverá manter atualizado os seus dados no Cadastro Unificado de Fornecedores do Estado do Paraná, conforme legislação vigente;</w:t>
      </w:r>
    </w:p>
    <w:p w14:paraId="301A163B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3.7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deverá cumprir todas as demais obrigações previstas no Termo de Dispensa de Licitação.</w:t>
      </w:r>
    </w:p>
    <w:p w14:paraId="73D3AA8D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DAS PENALIDADES: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fornecedor que incorra em infrações, sujeita-se às seguintes sanções administrativas:</w:t>
      </w:r>
    </w:p>
    <w:p w14:paraId="1A42CA40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advertência;</w:t>
      </w:r>
    </w:p>
    <w:p w14:paraId="0F55C9CD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multa;</w:t>
      </w:r>
    </w:p>
    <w:p w14:paraId="692B7B10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suspensão temporária de participação em licitação e impedimento de contratar com a Administração, por prazo não superior a 02 (dois) anos; </w:t>
      </w:r>
    </w:p>
    <w:p w14:paraId="441CFA7E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d)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para licitar ou contratar com a Administração Pública, por prazo não superior a 05 (cinco) anos;</w:t>
      </w:r>
    </w:p>
    <w:p w14:paraId="26C279E8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As sanções previstas nas alíneas </w:t>
      </w:r>
      <w:r>
        <w:rPr>
          <w:rFonts w:eastAsia="Times New Roman"/>
          <w:color w:val="000000"/>
          <w:sz w:val="24"/>
          <w:szCs w:val="24"/>
          <w:lang w:eastAsia="pt-BR"/>
        </w:rPr>
        <w:t>“a”, “c” e “d”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do item anterior poderão ser aplicadas </w:t>
      </w:r>
      <w:r>
        <w:rPr>
          <w:rFonts w:eastAsia="Times New Roman"/>
          <w:color w:val="000000"/>
          <w:sz w:val="24"/>
          <w:szCs w:val="24"/>
          <w:lang w:eastAsia="pt-BR"/>
        </w:rPr>
        <w:t>ao contratado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cumulativamente com a multa.</w:t>
      </w:r>
    </w:p>
    <w:p w14:paraId="0DCB93B9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4.2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Advertência será aplicada por conduta que prejudique o andamento do </w:t>
      </w:r>
      <w:r>
        <w:rPr>
          <w:rFonts w:eastAsia="Times New Roman"/>
          <w:color w:val="000000"/>
          <w:sz w:val="24"/>
          <w:szCs w:val="24"/>
          <w:lang w:eastAsia="pt-BR"/>
        </w:rPr>
        <w:t>procedimento de contratação.</w:t>
      </w:r>
    </w:p>
    <w:p w14:paraId="55EEDCE6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1% (um por cento) sobre o valor total do lote no qual participou, será aplicada a quem:</w:t>
      </w:r>
    </w:p>
    <w:p w14:paraId="479D4257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retardar ou impedir o andamento do procedimento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de contratação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;</w:t>
      </w:r>
    </w:p>
    <w:p w14:paraId="7706D4D3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não mantiver sua proposta;</w:t>
      </w:r>
    </w:p>
    <w:p w14:paraId="5C1F9EF5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apresentar declaração falsa;</w:t>
      </w:r>
    </w:p>
    <w:p w14:paraId="44220408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deixar de apresentar documento na fase de saneamento.</w:t>
      </w:r>
    </w:p>
    <w:p w14:paraId="68017761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5% (cinco por cento) sobre o valor total do lote no qual </w:t>
      </w:r>
      <w:r>
        <w:rPr>
          <w:rFonts w:eastAsia="Times New Roman"/>
          <w:color w:val="000000"/>
          <w:sz w:val="24"/>
          <w:szCs w:val="24"/>
          <w:lang w:eastAsia="pt-BR"/>
        </w:rPr>
        <w:t>participou, será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aplicada a quem:</w:t>
      </w:r>
    </w:p>
    <w:p w14:paraId="1B4DA13A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apresentar documento falso;</w:t>
      </w:r>
    </w:p>
    <w:p w14:paraId="0C2EF182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de forma injustificada, deixar de assinar o contrato ou instrumento equivalente;</w:t>
      </w:r>
    </w:p>
    <w:p w14:paraId="7FF3CDF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foi advertido e reincidiu pelo(s) mesmo(s) motivo(s).</w:t>
      </w:r>
    </w:p>
    <w:p w14:paraId="47321A82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4.5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Será aplicada multa de mora diária de até 0,3% (zero vírgula três por cento), calculada sobre o valor global do contrato, até o </w:t>
      </w:r>
      <w:r>
        <w:rPr>
          <w:rFonts w:eastAsia="Times New Roman"/>
          <w:color w:val="000000"/>
          <w:sz w:val="24"/>
          <w:szCs w:val="24"/>
          <w:lang w:eastAsia="pt-BR"/>
        </w:rPr>
        <w:t>10º (décimo) dia de atraso na entrega do objeto contratual; a partir do 11º (décimo primeiro) dia será cabível a multa compensatória prevista no item 4.6.</w:t>
      </w:r>
    </w:p>
    <w:p w14:paraId="682FBEAC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4.6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10% (dez por cento) até 20% (vinte por cento) sobre o valor total do contrato, será aplicada no caso de inexecução total ou parcial do contrato.</w:t>
      </w:r>
    </w:p>
    <w:p w14:paraId="0AB2B756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4.7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suspensão temporária de participação em licitação e impedimento de contratar com a Administração, pelo prazo de até 02 (dois) anos, será aplicada ao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contratado que:</w:t>
      </w:r>
    </w:p>
    <w:p w14:paraId="05301279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bookmarkStart w:id="0" w:name="4913614"/>
      <w:bookmarkEnd w:id="0"/>
      <w:r>
        <w:rPr>
          <w:rFonts w:eastAsia="Times New Roman"/>
          <w:color w:val="000000"/>
          <w:sz w:val="24"/>
          <w:szCs w:val="24"/>
          <w:lang w:eastAsia="pt-BR"/>
        </w:rPr>
        <w:t>a) recusar-se injustificadamente, após ser escolhido pela Administração, a assinar o contrato, aceitar ou retirar o instrumento equivalente, dentro do prazo estabelecido pela Administração;</w:t>
      </w:r>
    </w:p>
    <w:p w14:paraId="20415039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bookmarkStart w:id="1" w:name="4913815"/>
      <w:bookmarkEnd w:id="1"/>
      <w:r>
        <w:rPr>
          <w:rFonts w:eastAsia="Times New Roman"/>
          <w:sz w:val="24"/>
          <w:szCs w:val="24"/>
          <w:lang w:eastAsia="pt-BR"/>
        </w:rPr>
        <w:t>b) não mantiver sua proposta;</w:t>
      </w:r>
    </w:p>
    <w:p w14:paraId="04AF7141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abandonar a execução do contrato;</w:t>
      </w:r>
    </w:p>
    <w:p w14:paraId="59987638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incorrer em inexecução contratual.</w:t>
      </w:r>
    </w:p>
    <w:p w14:paraId="48FC379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4.8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para licitar ou contratar com a Administração Pública, pelo prazo de até 05 (cinco) anos, será aplicada a quem:</w:t>
      </w:r>
    </w:p>
    <w:p w14:paraId="0EEE196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fizer declaração falsa na fase de habilitação;</w:t>
      </w:r>
    </w:p>
    <w:p w14:paraId="5F51C4C2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b) apresentar documento falso;</w:t>
      </w:r>
    </w:p>
    <w:p w14:paraId="5EF62AB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frustrar ou fraudar, mediante ajuste, combinação ou qualquer outro expediente, o procedimento;</w:t>
      </w:r>
    </w:p>
    <w:p w14:paraId="24D22320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afastar ou procurar afastar participante, por meio de violência, grave ameaça, fraude ou oferecimento de vantagem de qualquer tipo;</w:t>
      </w:r>
    </w:p>
    <w:p w14:paraId="2C9A3846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e) agir de má-fé na relação contratual, comprovada em procedimento específico;</w:t>
      </w:r>
    </w:p>
    <w:p w14:paraId="336DB15E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f) tenha sofrido condenação judicial definitiva por praticar, por meios dolosos, fraude fiscal no recolhimento de quaisquer tributos;</w:t>
      </w:r>
    </w:p>
    <w:p w14:paraId="123A381F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g) demonstrar não possuir idoneidade para contratar com a Administração, em virtude de atos ilícitos praticados, em especial, infrações à ordem econômica definidos na Lei Federal nº 12.529/2011;</w:t>
      </w:r>
    </w:p>
    <w:p w14:paraId="5E87AFFD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h) tenha sofrido condenação definitiva por ato de improbidade administrativa, na forma da lei.</w:t>
      </w:r>
    </w:p>
    <w:p w14:paraId="167755A1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4.9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autoridade máxima do órgão ou entidade é a autoridade competente para impor as penalidades previstas no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item 4, alíneas “c” e “d”. </w:t>
      </w:r>
    </w:p>
    <w:p w14:paraId="7B1CB75C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4.10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Estendem-se os efeitos da penalidade de suspensão do direito de contratar com a Administração ou da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17B33544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às pessoas físicas que constituíram a pessoa jurídica, as quais permanecem impedidas de licitar com a Administração Pública enquanto perdurarem as causas da penalidade, independentemente de nova pessoa jurídica que vierem a constituir ou de outra em que figurarem como sócios;</w:t>
      </w:r>
    </w:p>
    <w:p w14:paraId="510F3A75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às pessoas jurídicas que tenham sócios comuns com as pessoas físicas referidas no inciso anterior.</w:t>
      </w:r>
    </w:p>
    <w:p w14:paraId="504282A7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Na aplicação das sanções, a Administração observará as seguintes circunstâncias:</w:t>
      </w:r>
    </w:p>
    <w:p w14:paraId="229B2CF1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proporcionalidade entre a sanção, a gravidade da infração e o vulto econômico da contratação;</w:t>
      </w:r>
    </w:p>
    <w:p w14:paraId="3617DF16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os danos resultantes da infração;</w:t>
      </w:r>
    </w:p>
    <w:p w14:paraId="4CD6180C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c) situação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econômico-financeira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da sancionada, em especial sua capacidade de geração de receitas e seu patrimônio, no caso de aplicação de multa;</w:t>
      </w:r>
    </w:p>
    <w:p w14:paraId="4C656205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d) reincidência, assim entendida a repetição de infração de igual natureza após aplicação da sanção anterior; e</w:t>
      </w:r>
    </w:p>
    <w:p w14:paraId="686E359A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e) circunstâncias gerais agravantes ou atenuantes da infração.</w:t>
      </w:r>
    </w:p>
    <w:p w14:paraId="670B4257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Nos casos não previstos no Termo de Dispensa de Licitação ou neste contrato, inclusive sobre o procedimento de aplicação das sanções administrativas, deverão ser observadas as disposições da Lei Estadual nº 15.608/2007 e da Lei Federal nº 8.666/1993.</w:t>
      </w:r>
    </w:p>
    <w:p w14:paraId="35FCE4F0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Sem prejuízo das penalidades previstas nas cláusulas anteriores, a responsabilização administrativa e civil de pessoas jurídicas pela prática de atos contra a Administração Pública, nacional ou estrangeira, na participação da presente aquisição e nos contratos ou vínculos derivados, também se dará na forma prevista na Lei Federal nº 12.846/2013, regulamentada, no âmbito do Estado do Paraná, pelo Decreto Estadual nº 10.271/2014.</w:t>
      </w:r>
    </w:p>
    <w:p w14:paraId="41E7A327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Quaisquer penalidades aplicadas serão transcritas no Cadastro Unificado de Fornecedores do Estado do Paraná (CFPR).</w:t>
      </w:r>
    </w:p>
    <w:p w14:paraId="6E6AF272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4.15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Todas as penalidades descritas neste contrato somente serão efetivamente aplicadas após instauração de regular processo administrativo.</w:t>
      </w:r>
    </w:p>
    <w:p w14:paraId="17E3F31B" w14:textId="77777777" w:rsidR="00C152B3" w:rsidRDefault="00C14C62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4.16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Após decisão definitiva proferida no processo administrativo, as multas aplicadas deverão ser recolhidas à conta do Contratante, no prazo de 05 (cinco) dias úteis a contar da data da notificação, sob pena de seu valor ser descontado da garantia do contrato, </w:t>
      </w:r>
      <w:r>
        <w:rPr>
          <w:rFonts w:eastAsia="Times New Roman"/>
          <w:color w:val="000000"/>
          <w:sz w:val="24"/>
          <w:szCs w:val="24"/>
          <w:lang w:eastAsia="pt-BR"/>
        </w:rPr>
        <w:t>se existente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ou do documento de cobrança, na ocasião do pagamento, podendo, ainda, ser exigida judicialmente.</w:t>
      </w:r>
    </w:p>
    <w:p w14:paraId="1EF217AC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 DOS CASOS DE RESCISÃO: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presente instrumento poderá ser rescindido:</w:t>
      </w:r>
    </w:p>
    <w:p w14:paraId="4882D230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a)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por ato unilateral e escrito da Administração, nos casos enumerados nos incisos I a XII e XVII a XX do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 129 da Lei Estadual n.º 15.608/2007;</w:t>
      </w:r>
    </w:p>
    <w:p w14:paraId="5DC657D3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b)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amigavelmente, por acordo entre as partes, reduzidas a termo no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respectivo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procedimento administrativo, desde que haja conveniência para a Administração; ou</w:t>
      </w:r>
    </w:p>
    <w:p w14:paraId="1D241212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c)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judicialmente, nos termos da legislação.</w:t>
      </w:r>
    </w:p>
    <w:p w14:paraId="0BD5FCE8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 caso de rescisão amigável, a parte que pretender rescindir comunicará sua intenção à outra, por escrito.</w:t>
      </w:r>
    </w:p>
    <w:p w14:paraId="2B5404E2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casos de rescisão devem ser formalmente motivados nos autos do processo, assegurado o contraditório e o direito de prévia e ampla defesa ao fornecedor.</w:t>
      </w:r>
    </w:p>
    <w:p w14:paraId="514C1935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fornecedor, desde já, reconhece todos os direitos da Administração Pública, em caso de rescisão administrativa por inexecução total ou parcial deste instrumento.</w:t>
      </w:r>
    </w:p>
    <w:p w14:paraId="6F6FEE8D" w14:textId="77777777" w:rsidR="00C152B3" w:rsidRDefault="00C14C62">
      <w:pPr>
        <w:widowControl/>
        <w:spacing w:beforeAutospacing="1" w:afterAutospacing="1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6 DA LEGISLAÇÃO APLICÁVEL: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Este instrumento é regido pela Lei Estadual n.º 15.608/2007, pela </w:t>
      </w:r>
      <w:r>
        <w:rPr>
          <w:rFonts w:eastAsia="Times New Roman"/>
          <w:color w:val="000000"/>
          <w:sz w:val="24"/>
          <w:szCs w:val="24"/>
          <w:lang w:eastAsia="pt-BR"/>
        </w:rPr>
        <w:t>Medida Provisória nº 1.047, de 03 de maio de 2021, e, subsidiariamente, pela Lei Federal n.º 8.666/1993 e demais leis estaduais e federais sobre contratos administrativos, aplicando-se referida legislação aos casos omissos no presente instrumento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341F916F" w14:textId="77777777" w:rsidR="00C152B3" w:rsidRDefault="00C14C62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7 DO FORO: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As questões decorrentes da execução deste instrumento, que não possam ser dirimidas administrativamente, serão processadas e julgadas na Justiça Estadual, no Foro Central da Comarca da Região Metropolitana de Curitiba – PR, com exclusão de qualquer outro, por mais privilegiado que seja.</w:t>
      </w:r>
    </w:p>
    <w:p w14:paraId="3A1B0CB1" w14:textId="77777777" w:rsidR="00C152B3" w:rsidRDefault="00C152B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</w:p>
    <w:p w14:paraId="3AC2B313" w14:textId="77777777" w:rsidR="00C152B3" w:rsidRDefault="00C152B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</w:p>
    <w:p w14:paraId="5A5CB266" w14:textId="77777777" w:rsidR="00C152B3" w:rsidRDefault="00C152B3">
      <w:pPr>
        <w:pStyle w:val="Corpodotexto"/>
        <w:spacing w:before="57" w:after="57"/>
        <w:ind w:left="27"/>
        <w:jc w:val="both"/>
      </w:pPr>
    </w:p>
    <w:sectPr w:rsidR="00C152B3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B3"/>
    <w:rsid w:val="000A0809"/>
    <w:rsid w:val="001657EF"/>
    <w:rsid w:val="00C14C62"/>
    <w:rsid w:val="00C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1FC5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D"/>
    <w:pPr>
      <w:widowControl w:val="0"/>
      <w:suppressAutoHyphens/>
      <w:spacing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otexto"/>
    <w:qFormat/>
    <w:rsid w:val="00F62BCD"/>
    <w:rPr>
      <w:rFonts w:ascii="Arial" w:eastAsia="Arial" w:hAnsi="Arial" w:cs="Arial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62BCD"/>
    <w:rPr>
      <w:rFonts w:ascii="Arial" w:eastAsia="Arial" w:hAnsi="Arial" w:cs="Arial"/>
      <w:lang w:val="pt-PT"/>
    </w:rPr>
  </w:style>
  <w:style w:type="character" w:customStyle="1" w:styleId="Fontepargpadro1">
    <w:name w:val="Fonte parág. padrão1"/>
    <w:qFormat/>
    <w:rsid w:val="00F62BCD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F62BCD"/>
    <w:rPr>
      <w:sz w:val="24"/>
      <w:szCs w:val="24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F62BCD"/>
    <w:pPr>
      <w:ind w:left="953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2BC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E95F2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qFormat/>
    <w:rsid w:val="00E95F27"/>
    <w:pPr>
      <w:widowControl/>
      <w:spacing w:beforeAutospacing="1" w:afterAutospacing="1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bonatto</dc:creator>
  <cp:lastModifiedBy>hamilton bonatto</cp:lastModifiedBy>
  <cp:revision>2</cp:revision>
  <dcterms:created xsi:type="dcterms:W3CDTF">2021-07-07T18:31:00Z</dcterms:created>
  <dcterms:modified xsi:type="dcterms:W3CDTF">2021-07-07T18:31:00Z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