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4B" w:rsidRPr="00E95F27" w:rsidRDefault="00DC684B"/>
    <w:p w:rsidR="00F62BCD" w:rsidRPr="00E95F27" w:rsidRDefault="00F62BCD" w:rsidP="00F62BCD">
      <w:pPr>
        <w:pStyle w:val="PargrafodaLista"/>
        <w:widowControl/>
        <w:shd w:val="clear" w:color="auto" w:fill="E7E6E6" w:themeFill="background2"/>
        <w:overflowPunct w:val="0"/>
        <w:autoSpaceDE/>
        <w:autoSpaceDN/>
        <w:spacing w:after="160" w:line="259" w:lineRule="auto"/>
        <w:ind w:left="0" w:firstLine="0"/>
        <w:contextualSpacing/>
        <w:jc w:val="center"/>
        <w:rPr>
          <w:rFonts w:eastAsia="Calibri"/>
          <w:color w:val="00000A"/>
          <w:sz w:val="24"/>
          <w:szCs w:val="24"/>
          <w:lang w:val="pt-BR"/>
        </w:rPr>
      </w:pPr>
      <w:r w:rsidRPr="00E95F27">
        <w:rPr>
          <w:rFonts w:eastAsia="Calibri"/>
          <w:color w:val="00000A"/>
          <w:sz w:val="24"/>
          <w:szCs w:val="24"/>
          <w:lang w:val="pt-BR"/>
        </w:rPr>
        <w:t>ANEXO III - ANEXO À NOTA DE EMPENHO</w:t>
      </w:r>
    </w:p>
    <w:p w:rsidR="00F62BCD" w:rsidRPr="00E95F27" w:rsidRDefault="00F62BCD" w:rsidP="00F62BCD">
      <w:pPr>
        <w:pStyle w:val="Cabealho"/>
        <w:widowControl/>
        <w:tabs>
          <w:tab w:val="clear" w:pos="4252"/>
          <w:tab w:val="clear" w:pos="8504"/>
          <w:tab w:val="left" w:pos="284"/>
        </w:tabs>
        <w:autoSpaceDE/>
        <w:autoSpaceDN/>
        <w:spacing w:line="360" w:lineRule="auto"/>
        <w:ind w:left="1560" w:right="113"/>
        <w:jc w:val="both"/>
        <w:rPr>
          <w:sz w:val="24"/>
        </w:rPr>
      </w:pPr>
    </w:p>
    <w:p w:rsidR="00E95F27" w:rsidRPr="00E95F27" w:rsidRDefault="00E95F27" w:rsidP="00E95F27">
      <w:pPr>
        <w:widowControl/>
        <w:autoSpaceDE/>
        <w:autoSpaceDN/>
        <w:spacing w:before="100" w:beforeAutospacing="1" w:after="159" w:line="259" w:lineRule="auto"/>
        <w:ind w:left="17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>ANEXO À NOTA DE EMPENHO</w:t>
      </w:r>
    </w:p>
    <w:p w:rsidR="00E95F27" w:rsidRPr="00E95F27" w:rsidRDefault="00E95F27" w:rsidP="00E95F27">
      <w:pPr>
        <w:widowControl/>
        <w:autoSpaceDE/>
        <w:autoSpaceDN/>
        <w:spacing w:before="57" w:after="57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NOTA DE EMPENHO N° </w:t>
      </w:r>
      <w:r w:rsidRPr="00E95F27"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XXXXXXXX </w:t>
      </w:r>
    </w:p>
    <w:p w:rsidR="00E95F27" w:rsidRPr="00E95F27" w:rsidRDefault="00E95F27" w:rsidP="00E95F27">
      <w:pPr>
        <w:widowControl/>
        <w:autoSpaceDE/>
        <w:autoSpaceDN/>
        <w:spacing w:before="57" w:after="57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VALOR </w:t>
      </w:r>
      <w:r w:rsidRPr="00E95F27">
        <w:rPr>
          <w:rFonts w:eastAsia="Times New Roman"/>
          <w:sz w:val="24"/>
          <w:szCs w:val="24"/>
          <w:shd w:val="clear" w:color="auto" w:fill="FFFF00"/>
          <w:lang w:eastAsia="pt-BR"/>
        </w:rPr>
        <w:t>XXXXXXXX</w:t>
      </w:r>
    </w:p>
    <w:p w:rsidR="00E95F27" w:rsidRPr="00E95F27" w:rsidRDefault="00E95F27" w:rsidP="00E95F27">
      <w:pPr>
        <w:widowControl/>
        <w:autoSpaceDE/>
        <w:autoSpaceDN/>
        <w:spacing w:before="57" w:after="240"/>
        <w:ind w:left="28"/>
        <w:rPr>
          <w:rFonts w:eastAsia="Times New Roman"/>
          <w:sz w:val="24"/>
          <w:szCs w:val="24"/>
          <w:lang w:eastAsia="pt-BR"/>
        </w:rPr>
      </w:pP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1 DA VINCULAÇÃO AO TERMO DE DISPENSA DE LICITAÇÃO: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Integra este instrumento o Termo de Dispensa de Licitação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n.º </w:t>
      </w:r>
      <w:r w:rsidRPr="00E95F27"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bem como o Descritivo da Proposta de Preços constantes do Protocolado n.º </w:t>
      </w:r>
      <w:r w:rsidRPr="00E95F27"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XXXXXXXX,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independentemente de transcrição. 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2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DO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PAGAMENTO: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Os pagamentos serão feitos no prazo máximo de 30 (trinta) dias da apresentação da nota fiscal atestada e do Certificado de Regularidade Fiscal (CRF),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emitido pelo Sistema de Gestão de Materiais, Obras e Serviços (GMS), destinado a comprovar a regularidade com os Fiscos Federal, Estadual (inclusive do Estado do Paraná para licitantes sediados em outro Estado da Federação) e Municipal, com o FGTS, o INSS e a negativa d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débitos trabalhistas (CNDT), observadas as disposições do Termo de Dispensa de Licitação.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2.1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Nenhum pagamento será efetuado</w:t>
      </w: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sem a apresentação dos documentos exigidos, bem como enquanto não forem sanadas irregularidades eventualmente constatadas na nota fiscal, no fornecimento dos bens ou no cumprimento de obrigações contratuais.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2.2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Os pagamentos ficarão condicionados à prévia informação pelo credor, dos dados da conta-corrente junto à instituição financeira contratada pelo Estado, conforme o disposto no Decreto Estadual n.º 4.505/2016, ressalvadas as exceções previstas no mesmo regulamento.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2.3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Nos casos de eventuais atrasos de pagamento, desde que a Contratada não tenha concorrido para tanto, fica convencionado que a taxa de compensação financeira devida pela Contratante, entre a data do vencimento e o efetivo adimplemento da parcela, é calculada mediante a aplicação da seguinte fórmula: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EM = I x N x VP, sendo: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EM = Encargos moratórios;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 = Número de dias entre a data prevista para o pagamento e a do efetivo pagamento;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VP = Valor da parcela a ser paga.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I = Índice de compensação financeira = 0,00016438, assim apurado:</w:t>
      </w:r>
    </w:p>
    <w:tbl>
      <w:tblPr>
        <w:tblW w:w="93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9"/>
        <w:gridCol w:w="1734"/>
        <w:gridCol w:w="6037"/>
      </w:tblGrid>
      <w:tr w:rsidR="00E95F27" w:rsidRPr="00E95F27" w:rsidTr="00E95F27">
        <w:trPr>
          <w:trHeight w:val="705"/>
          <w:tblCellSpacing w:w="0" w:type="dxa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E95F2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pt-BR" w:eastAsia="pt-BR"/>
              </w:rPr>
              <w:t>I = (TX)</w:t>
            </w:r>
          </w:p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eastAsia="pt-BR"/>
              </w:rPr>
            </w:pPr>
            <w:r w:rsidRPr="00E95F2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pt-BR"/>
              </w:rPr>
              <w:t xml:space="preserve">I = </w:t>
            </w:r>
            <w:r w:rsidRPr="00E95F27">
              <w:rPr>
                <w:rFonts w:eastAsia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 w:eastAsia="pt-BR"/>
              </w:rPr>
              <w:t>(6/100)</w:t>
            </w:r>
          </w:p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eastAsia="pt-BR"/>
              </w:rPr>
            </w:pPr>
            <w:r w:rsidRPr="00E95F2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365</w:t>
            </w:r>
          </w:p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eastAsia="pt-BR"/>
              </w:rPr>
            </w:pPr>
            <w:r w:rsidRPr="00E95F2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I = 0,00016438</w:t>
            </w:r>
          </w:p>
          <w:p w:rsidR="00E95F27" w:rsidRPr="00E95F27" w:rsidRDefault="00E95F27" w:rsidP="00E95F27">
            <w:pPr>
              <w:widowControl/>
              <w:autoSpaceDE/>
              <w:autoSpaceDN/>
              <w:spacing w:before="100" w:beforeAutospacing="1" w:after="100" w:afterAutospacing="1"/>
              <w:ind w:left="28"/>
              <w:rPr>
                <w:rFonts w:eastAsia="Times New Roman"/>
                <w:sz w:val="24"/>
                <w:szCs w:val="24"/>
                <w:lang w:eastAsia="pt-BR"/>
              </w:rPr>
            </w:pPr>
            <w:r w:rsidRPr="00E95F2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TX = Percentual da taxa anual = 6%.</w:t>
            </w:r>
          </w:p>
        </w:tc>
      </w:tr>
    </w:tbl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3 DAS OBRIGAÇÕES E RESPONSABILIDADES DO FORNECEDOR: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o fornecedor deverá efetuar a entrega do objeto em perfeitas condições, conforme especificações, prazo e local constantes no Termo de Dispensa de Licitação, acompanhado da respectiva nota fiscal, na qual constarão, as indicações referentes a: marca, fabricante, modelo, procedência e prazo de garantia ou validade, e acompanhado do manual do usuário, com uma versão em português e da relação da rede de assistência técnica autorizada, quando aplicável;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3.1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o fornecedor deverá responsabilizar-se pelos vícios e danos decorrentes do objeto, de acordo com os artigos 12, 13 e 17 a 27, do Código de Defesa do Consumidor (Lei Federal nº 8.078/1990);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3.2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o fornecedor deverá substituir, reparar ou corrigir, às suas expensas, no prazo fixado no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Termo de Dispensa de Licitação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, o objeto com avarias ou defeitos;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3.3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o fornecedor deverá comunicar à Administração, no prazo máximo de 24 (vinte e quatro) horas que antecede a data da entrega, os motivos que impossibilitem o cumprimento do prazo previsto, com a devida comprovação;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3.4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o fornecedor deverá indicar preposto para representá-lo durante a execução do contrato;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3.5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o fornecedor deverá manter durante toda a vigência do contrato, em compatibilidade com as obrigações assumidas, todas as condições de habilitação e qualificação exigidas no procedimento de contratação;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3.6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o fornecedor deverá manter atualizado os seus dados no Cadastro Unificado de Fornecedores do Estado do Paraná, conforme legislação vigente;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3.7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o fornecedor deverá cumprir todas as demais obrigações previstas no Termo de Dispensa de Licitação.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4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Pr="00E95F27">
        <w:rPr>
          <w:rFonts w:eastAsia="Times New Roman"/>
          <w:b/>
          <w:bCs/>
          <w:color w:val="000000"/>
          <w:sz w:val="24"/>
          <w:szCs w:val="24"/>
          <w:lang w:eastAsia="pt-BR"/>
        </w:rPr>
        <w:t>DAS PENALIDADES: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o fornecedor que incorra em infrações, sujeita-se às seguintes sanções administrativas: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a)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advertência;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b)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multa;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c)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suspensão temporária de participação em licitação e impedimento de contratar com a Administração, por prazo não superior a 02 (dois) anos; 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d)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declaração de inidoneidade para licitar ou contratar com a Administração Pública, por prazo não superior a 05 (cinco) anos;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As sanções previstas nas alíneas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“a”, “c” e “d”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do item anterior poderão ser aplicadas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ao contratado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cumulativamente com a multa.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4.2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Advertência será aplicada por conduta que prejudique o andamento do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procedimento de contratação.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4.3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0,1% (zero vírgula um por cento) até 1% (um por cento) sobre o valor total do lote no qual participou, será aplicada a quem: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retardar ou impedir o andamento do procedimento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de contratação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não mantiver sua proposta;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apresentar declaração falsa;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deixar de apresentar documento na fase de saneamento.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4.4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0,1% (zero vírgula um por cento) até 5% (cinco por cento) sobre o valor total do lote no qual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participou, será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aplicada a quem: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apresentar documento falso;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de forma injustificada, deixar de assinar o contrato ou instrumento equivalente;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foi advertido e reincidiu pelo(s) mesmo(s) motivo(s).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4.5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Será aplicada multa de mora diária de até 0,3% (zero vírgula três por cento), calculada sobre o valor global do contrato, até o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10º (décimo) dia de atraso na entrega do objeto contratual; a partir do 11º (décimo primeiro) dia será cabível a multa compensatória prevista no item 4.6.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4.6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10% (dez por cento) até 20% (vinte por cento) sobre o valor total do contrato, será aplicada no caso de inexecução total ou parcial do contrato.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4.7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suspensão temporária de participação em licitação e impedimento de contratar com a Administração, pelo prazo de até 02 (dois) anos, será aplicada ao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contratado que: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bookmarkStart w:id="0" w:name="4913614"/>
      <w:bookmarkEnd w:id="0"/>
      <w:r w:rsidRPr="00E95F27">
        <w:rPr>
          <w:rFonts w:eastAsia="Times New Roman"/>
          <w:color w:val="000000"/>
          <w:sz w:val="24"/>
          <w:szCs w:val="24"/>
          <w:lang w:eastAsia="pt-BR"/>
        </w:rPr>
        <w:t>a) recusar-se injustificadamente, após ser escolhido pela Administração, a assinar o contrato, aceitar ou retirar o instrumento equivalente, dentro do prazo estabelecido pela Administração;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bookmarkStart w:id="1" w:name="4913815"/>
      <w:bookmarkEnd w:id="1"/>
      <w:r w:rsidRPr="00E95F27">
        <w:rPr>
          <w:rFonts w:eastAsia="Times New Roman"/>
          <w:sz w:val="24"/>
          <w:szCs w:val="24"/>
          <w:lang w:eastAsia="pt-BR"/>
        </w:rPr>
        <w:lastRenderedPageBreak/>
        <w:t>b) não mantiver sua proposta;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abandonar a execução do contrato;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incorrer em inexecução contratual.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4.8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declaração de inidoneidade para licitar ou contratar com a Administração Pública, pelo prazo de até 05 (cinco) anos, será aplicada a quem: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fizer declaração falsa na fase de habilitação;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lang w:eastAsia="pt-BR"/>
        </w:rPr>
        <w:t>b) apresentar documento falso;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frustrar ou fraudar, mediante ajuste, combinação ou qualquer outro expediente, o procedimento;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afastar ou procurar afastar participante, por meio de violência, grave ameaça, fraude ou oferecimento de vantagem de qualquer tipo;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e) agir de má-fé na relação contratual, comprovada em procedimento específico;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f) tenha sofrido condenação judicial definitiva por praticar, por meios dolosos, fraude fiscal no recolhimento de quaisquer tributos;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g) demonstrar não possuir idoneidade para contratar com a Administração, em virtude de atos ilícitos praticados, em especial, infrações à ordem econômica definidos na Lei Federal nº 12.529/2011;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h) tenha sofrido condenação definitiva por ato de improbidade administrativa, na forma da lei.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4.9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autoridade máxima do órgão ou entidade é a autoridade competente para impor as penalidades previstas no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 xml:space="preserve"> item 4, alíneas “c” e “d”. 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4.10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Estendem-se os efeitos da penalidade de suspensão do direito de contratar com a Administração ou da declaração de inidoneidade: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às pessoas físicas que constituíram a pessoa jurídica, as quais permanecem impedidas de licitar com a Administração Pública enquanto perdurarem as causas da penalidade, independentemente de nova pessoa jurídica que vierem a constituir ou de outra em que figurarem como sócios;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às pessoas jurídicas que tenham sócios comuns com as pessoas físicas referidas no inciso anterior.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4.11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Na aplicação das sanções, a Administração observará as seguintes circunstâncias: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a) proporcionalidade entre a sanção, a gravidade da infração e o vulto econômico da contratação;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os danos resultantes da infração;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situação econômico-financeira da sancionada, em especial sua capacidade de geração de receitas e seu patrimônio, no caso de aplicação de multa;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reincidência, assim entendida a repetição de infração de igual natureza após aplicação da sanção anterior; e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e) circunstâncias gerais agravantes ou atenuantes da infração.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4.12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Nos casos não previstos no Termo de Dispensa de Licitação ou neste contrato, inclusive sobre o procedimento de aplicação das sanções administrativas, deverão ser observadas as disposições da Lei Estadual nº 15.608/2007 e da Lei Federal nº 8.666/1993.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4.13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Sem prejuízo das penalidades previstas nas cláusulas anteriores, a responsabilização administrativa e civil de pessoas jurídicas pela prática de atos contra a Administração Pública, nacional ou estrangeira, na participação da presente aquisição e nos contratos ou vínculos derivados, também se dará na forma prevista na Lei Federal nº 12.846/2013, regulamentada, no âmbito do Estado do Paraná, pelo Decreto Estadual nº 10.271/2014.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4.14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Quaisquer penalidades aplicadas serão transcritas no Cadastro Unificado de Fornecedores do Estado do Paraná (CFPR).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4.15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Todas as penalidades descritas neste contrato somente serão efetivamente aplicadas após instauração de regular processo administrativo.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ind w:left="28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4.16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Após decisão definitiva proferida no processo administrativo, as multas aplicadas deverão ser recolhidas à conta do Contratante, no prazo de 05 (cinco) dias úteis a contar da data da notificação, sob pena de seu valor ser descontado da garantia do contrato,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se existente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ou do documento de cobrança, na ocasião do pagamento, podendo, ainda, ser exigida judicialmente.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 DOS CASOS DE RESCISÃO: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presente instrumento poderá ser rescindido: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a)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por ato unilateral e escrito da Administração, nos casos enumerados nos incisos I a XII e XVII a XX do art. 129 da Lei Estadual n.º 15.608/2007;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b)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amigavelmente, por acordo entre as partes, reduzidas a termo no respectivo procedimento administrativo, desde que haja conveniência para a Administração; ou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c)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judicialmente, nos termos da legislação.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5.1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No caso de rescisão amigável, a parte que pretender rescindir comunicará sua intenção à outra, por escrito.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5.2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Os casos de rescisão devem ser formalmente motivados nos autos do processo, assegurado o contraditório e o direito de prévia e ampla defesa ao fornecedor.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5.3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fornecedor, desde já, reconhece todos os direitos da Administração Pública, em caso de rescisão administrativa por inexecução total ou parcial deste instrumento.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6 DA LEGISLAÇÃO APLICÁVEL: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Este instrumento é regido pela Lei Estadual n.º 15.608/2007, pela </w:t>
      </w:r>
      <w:r w:rsidRPr="00E95F27">
        <w:rPr>
          <w:rFonts w:eastAsia="Times New Roman"/>
          <w:color w:val="000000"/>
          <w:sz w:val="24"/>
          <w:szCs w:val="24"/>
          <w:lang w:eastAsia="pt-BR"/>
        </w:rPr>
        <w:t>Lei Federal n.º 13.979/2020, com as alterações promovidas pela Medida Provisória nº 926, de 20 de março de 2020, e, subsidiariamente, pela Lei Federal n.º 8.666/1993 e demais leis estaduais e federais sobre contratos administrativos, aplicando-se referida legislação aos casos omissos no presente instrumento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  <w:bookmarkStart w:id="2" w:name="_GoBack"/>
      <w:bookmarkEnd w:id="2"/>
      <w:r w:rsidRPr="00E95F2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7 DO FORO: </w:t>
      </w:r>
      <w:r w:rsidRPr="00E95F27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As questões decorrentes da execução deste instrumento, que não possam ser dirimidas administrativamente, serão processadas e julgadas na Justiça Estadual, no Foro Central da Comarca da Região Metropolitana de Curitiba – PR, com exclusão de qualquer outro, por mais privilegiado que seja.</w:t>
      </w: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</w:p>
    <w:p w:rsidR="00E95F27" w:rsidRPr="00E95F27" w:rsidRDefault="00E95F27" w:rsidP="00E95F27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pt-BR"/>
        </w:rPr>
      </w:pPr>
    </w:p>
    <w:p w:rsidR="00F62BCD" w:rsidRPr="00E95F27" w:rsidRDefault="00F62BCD" w:rsidP="00E95F27">
      <w:pPr>
        <w:pStyle w:val="Corpodetexto"/>
        <w:spacing w:before="57" w:after="57"/>
        <w:ind w:left="27"/>
        <w:jc w:val="both"/>
      </w:pPr>
    </w:p>
    <w:sectPr w:rsidR="00F62BCD" w:rsidRPr="00E95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CD"/>
    <w:rsid w:val="0035265D"/>
    <w:rsid w:val="004A7DCA"/>
    <w:rsid w:val="00976DCB"/>
    <w:rsid w:val="00DC684B"/>
    <w:rsid w:val="00E95F27"/>
    <w:rsid w:val="00F6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AC89-118E-4561-9680-053D1AE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62B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62BCD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62BCD"/>
    <w:pPr>
      <w:ind w:left="953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2BCD"/>
    <w:rPr>
      <w:rFonts w:ascii="Arial" w:eastAsia="Arial" w:hAnsi="Arial" w:cs="Arial"/>
      <w:lang w:val="pt-PT"/>
    </w:rPr>
  </w:style>
  <w:style w:type="character" w:customStyle="1" w:styleId="Fontepargpadro1">
    <w:name w:val="Fonte parág. padrão1"/>
    <w:qFormat/>
    <w:rsid w:val="00F62BCD"/>
  </w:style>
  <w:style w:type="paragraph" w:styleId="NormalWeb">
    <w:name w:val="Normal (Web)"/>
    <w:basedOn w:val="Normal"/>
    <w:uiPriority w:val="99"/>
    <w:semiHidden/>
    <w:unhideWhenUsed/>
    <w:rsid w:val="00E95F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E95F27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bonatto</dc:creator>
  <cp:keywords/>
  <dc:description/>
  <cp:lastModifiedBy>hamilton bonatto</cp:lastModifiedBy>
  <cp:revision>2</cp:revision>
  <dcterms:created xsi:type="dcterms:W3CDTF">2020-03-23T13:34:00Z</dcterms:created>
  <dcterms:modified xsi:type="dcterms:W3CDTF">2020-03-23T14:17:00Z</dcterms:modified>
</cp:coreProperties>
</file>