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84B" w:rsidRPr="00E95F27" w:rsidRDefault="00DC684B"/>
    <w:p w:rsidR="00F62BCD" w:rsidRPr="00E95F27" w:rsidRDefault="00F62BCD" w:rsidP="00F62BCD">
      <w:pPr>
        <w:pStyle w:val="PargrafodaLista"/>
        <w:widowControl/>
        <w:shd w:val="clear" w:color="auto" w:fill="E7E6E6" w:themeFill="background2"/>
        <w:overflowPunct w:val="0"/>
        <w:autoSpaceDE/>
        <w:autoSpaceDN/>
        <w:spacing w:after="160" w:line="259" w:lineRule="auto"/>
        <w:ind w:left="0" w:firstLine="0"/>
        <w:contextualSpacing/>
        <w:jc w:val="center"/>
        <w:rPr>
          <w:rFonts w:eastAsia="Calibri"/>
          <w:color w:val="00000A"/>
          <w:sz w:val="24"/>
          <w:szCs w:val="24"/>
          <w:lang w:val="pt-BR"/>
        </w:rPr>
      </w:pPr>
      <w:r w:rsidRPr="00E95F27">
        <w:rPr>
          <w:rFonts w:eastAsia="Calibri"/>
          <w:color w:val="00000A"/>
          <w:sz w:val="24"/>
          <w:szCs w:val="24"/>
          <w:lang w:val="pt-BR"/>
        </w:rPr>
        <w:t>ANEXO III - ANEXO À NOTA DE EMPENHO</w:t>
      </w:r>
    </w:p>
    <w:p w:rsidR="00F62BCD" w:rsidRPr="00E95F27" w:rsidRDefault="00F62BCD" w:rsidP="00F62BCD">
      <w:pPr>
        <w:pStyle w:val="Cabealho"/>
        <w:widowControl/>
        <w:tabs>
          <w:tab w:val="clear" w:pos="4252"/>
          <w:tab w:val="clear" w:pos="8504"/>
          <w:tab w:val="left" w:pos="284"/>
        </w:tabs>
        <w:autoSpaceDE/>
        <w:autoSpaceDN/>
        <w:spacing w:line="360" w:lineRule="auto"/>
        <w:ind w:left="1560" w:right="113"/>
        <w:jc w:val="both"/>
        <w:rPr>
          <w:sz w:val="24"/>
        </w:rPr>
      </w:pPr>
    </w:p>
    <w:p w:rsidR="00E95F27" w:rsidRPr="00E95F27" w:rsidRDefault="00E95F27" w:rsidP="00E95F27">
      <w:pPr>
        <w:widowControl/>
        <w:autoSpaceDE/>
        <w:autoSpaceDN/>
        <w:spacing w:before="100" w:beforeAutospacing="1" w:after="159" w:line="259" w:lineRule="auto"/>
        <w:ind w:left="17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>ANEXO À NOTA DE EMPENHO</w:t>
      </w:r>
    </w:p>
    <w:p w:rsidR="00E95F27" w:rsidRPr="00E95F27" w:rsidRDefault="00E95F27" w:rsidP="00E95F27">
      <w:pPr>
        <w:widowControl/>
        <w:autoSpaceDE/>
        <w:autoSpaceDN/>
        <w:spacing w:before="57" w:after="57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NOTA DE EMPENHO N° </w:t>
      </w:r>
      <w:r w:rsidRPr="00E95F27">
        <w:rPr>
          <w:rFonts w:eastAsia="Times New Roman"/>
          <w:sz w:val="24"/>
          <w:szCs w:val="24"/>
          <w:shd w:val="clear" w:color="auto" w:fill="FFFF00"/>
          <w:lang w:eastAsia="pt-BR"/>
        </w:rPr>
        <w:t xml:space="preserve">XXXXXXXX </w:t>
      </w:r>
    </w:p>
    <w:p w:rsidR="00E95F27" w:rsidRPr="00E95F27" w:rsidRDefault="00E95F27" w:rsidP="00E95F27">
      <w:pPr>
        <w:widowControl/>
        <w:autoSpaceDE/>
        <w:autoSpaceDN/>
        <w:spacing w:before="57" w:after="57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sz w:val="24"/>
          <w:szCs w:val="24"/>
          <w:shd w:val="clear" w:color="auto" w:fill="FFFFFF"/>
          <w:lang w:eastAsia="pt-BR"/>
        </w:rPr>
        <w:t xml:space="preserve">VALOR </w:t>
      </w:r>
      <w:r w:rsidRPr="00E95F27">
        <w:rPr>
          <w:rFonts w:eastAsia="Times New Roman"/>
          <w:sz w:val="24"/>
          <w:szCs w:val="24"/>
          <w:shd w:val="clear" w:color="auto" w:fill="FFFF00"/>
          <w:lang w:eastAsia="pt-BR"/>
        </w:rPr>
        <w:t>XXXXXXXX</w:t>
      </w:r>
    </w:p>
    <w:p w:rsidR="00E95F27" w:rsidRPr="00E95F27" w:rsidRDefault="00E95F27" w:rsidP="00E95F27">
      <w:pPr>
        <w:widowControl/>
        <w:autoSpaceDE/>
        <w:autoSpaceDN/>
        <w:spacing w:before="57" w:after="240"/>
        <w:ind w:left="28"/>
        <w:rPr>
          <w:rFonts w:eastAsia="Times New Roman"/>
          <w:sz w:val="24"/>
          <w:szCs w:val="24"/>
          <w:lang w:eastAsia="pt-BR"/>
        </w:rPr>
      </w:pP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1 DA VINCULAÇÃO AO TERMO DE DISPENSA DE LICITAÇÃO: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Integra este instrumento o Termo de Dispensa de Licitação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n.º </w:t>
      </w:r>
      <w:r w:rsidRPr="00E95F27"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, bem como o Descritivo da Proposta de Preços constantes do Protocolado n.º </w:t>
      </w:r>
      <w:r w:rsidRPr="00E95F27">
        <w:rPr>
          <w:rFonts w:eastAsia="Times New Roman"/>
          <w:color w:val="000000"/>
          <w:sz w:val="24"/>
          <w:szCs w:val="24"/>
          <w:shd w:val="clear" w:color="auto" w:fill="FFFF00"/>
          <w:lang w:eastAsia="pt-BR"/>
        </w:rPr>
        <w:t>XXXXXXXX,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independentemente de transcrição. 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2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DO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PAGAMENTO: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pagamentos serão feitos no prazo máximo de 30 (trinta) dias da apresentação da nota fiscal atestada e do Certificado de Regularidade Fiscal (CRF),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emitido pelo Sistema de Gestão de Materiais, Obras e Serviços (GMS), destinado a comprovar a regularidade com os Fiscos Federal, Estadual (inclusive do Estado do Paraná para licitantes sediados em outro Estado da Federação) e Municipal, com o FGTS, o INSS e a negativa d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 débitos trabalhistas (CNDT), observadas as disposições do Termo de Dispensa de Licitação.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2.1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Nenhum pagamento será efetuado</w:t>
      </w: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sem a apresentação dos documentos exigidos, bem como enquanto não forem sanadas irregularidades eventualmente constatadas na nota fiscal, no fornecimento dos bens ou no cumprimento de obrigações contratuais.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2.2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Os pagamentos ficarão condicionados à prévia informação pelo credor, dos dados da conta-corrente junto à instituição financeira contratada pelo Estado, conforme o disposto no Decreto Estadual n.º 4.505/2016, ressalvadas as exceções previstas no mesmo regulamento.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2.3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Nos casos de eventuais atrasos de pagamento, desde que a Contratada não tenha concorrido para tanto, fica convencionado que a taxa de compensação financeira devida pela Contratante, entre a data do vencimento e o efetivo adimplemento da parcela, é calculada mediante a aplicação da seguinte fórmula: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I x N x VP, sendo: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EM = Encargos moratórios;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 = Número de dias entre a data prevista para o pagamento e a do efetivo pagamento;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VP = Valor da parcela a ser paga.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I = Índice de compensação financeira = 0,00016438, assim apurado:</w:t>
      </w:r>
    </w:p>
    <w:tbl>
      <w:tblPr>
        <w:tblW w:w="93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29"/>
        <w:gridCol w:w="1734"/>
        <w:gridCol w:w="6037"/>
      </w:tblGrid>
      <w:tr w:rsidR="00E95F27" w:rsidRPr="00E95F27" w:rsidTr="00E95F27">
        <w:trPr>
          <w:trHeight w:val="705"/>
          <w:tblCellSpacing w:w="0" w:type="dxa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E95F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pt-BR" w:eastAsia="pt-BR"/>
              </w:rPr>
              <w:t>I = (TX)</w:t>
            </w:r>
          </w:p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 w:rsidRPr="00E95F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val="en-US" w:eastAsia="pt-BR"/>
              </w:rPr>
              <w:t xml:space="preserve">I = </w:t>
            </w:r>
            <w:r w:rsidRPr="00E95F27">
              <w:rPr>
                <w:rFonts w:eastAsia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 w:eastAsia="pt-BR"/>
              </w:rPr>
              <w:t>(6/100)</w:t>
            </w:r>
          </w:p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 w:rsidRPr="00E95F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365</w:t>
            </w:r>
          </w:p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 w:rsidRPr="00E95F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I = 0,00016438</w:t>
            </w:r>
          </w:p>
          <w:p w:rsidR="00E95F27" w:rsidRPr="00E95F27" w:rsidRDefault="00E95F27" w:rsidP="00E95F27">
            <w:pPr>
              <w:widowControl/>
              <w:autoSpaceDE/>
              <w:autoSpaceDN/>
              <w:spacing w:before="100" w:beforeAutospacing="1" w:after="100" w:afterAutospacing="1"/>
              <w:ind w:left="28"/>
              <w:rPr>
                <w:rFonts w:eastAsia="Times New Roman"/>
                <w:sz w:val="24"/>
                <w:szCs w:val="24"/>
                <w:lang w:eastAsia="pt-BR"/>
              </w:rPr>
            </w:pPr>
            <w:r w:rsidRPr="00E95F2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pt-BR"/>
              </w:rPr>
              <w:t>TX = Percentual da taxa anual = 6%.</w:t>
            </w:r>
          </w:p>
        </w:tc>
      </w:tr>
    </w:tbl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3 DAS OBRIGAÇÕES E RESPONSABILIDADES DO FORNECEDOR: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o fornecedor deverá efetuar a entrega do objeto em perfeitas condições, conforme especificações, prazo e local constantes no Termo de Dispensa de Licitação, acompanhado da respectiva nota fiscal, na qual constarão, as indicações referentes a: marca, fabricante, modelo, procedência e prazo de garantia ou validade, e acompanhado do manual do usuário, com uma versão em português e da relação da rede de assistência técnica autorizada, quando aplicável;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3.1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o fornecedor deverá responsabilizar-se pelos vícios e danos decorrentes do objeto, de acordo com os artigos 12, 13 e 17 a 27, do Código de Defesa do Consumidor (Lei Federal nº 8.078/1990);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3.2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deverá substituir, reparar ou corrigir, às suas expensas, no prazo fixado no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Termo de Dispensa de Licitação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, o objeto com avarias ou defeitos;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3.3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deverá comunicar à Administração, no prazo máximo de 24 (vinte e quatro) horas que antecede a data da entrega, os motivos que impossibilitem o cumprimento do prazo previsto, com a devida comprovação;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 xml:space="preserve">3.4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o fornecedor deverá indicar preposto para representá-lo durante a execução do contrato;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3.5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durante toda a vigência do contrato, em compatibilidade com as obrigações assumidas, todas as condições de habilitação e qualificação exigidas no procedimento de contratação;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3.6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deverá manter atualizado os seus dados no Cadastro Unificado de Fornecedores do Estado do Paraná, conforme legislação vigente;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3.7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deverá cumprir todas as demais obrigações previstas no Termo de Dispensa de Licitação.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4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</w:t>
      </w:r>
      <w:r w:rsidRPr="00E95F27">
        <w:rPr>
          <w:rFonts w:eastAsia="Times New Roman"/>
          <w:b/>
          <w:bCs/>
          <w:color w:val="000000"/>
          <w:sz w:val="24"/>
          <w:szCs w:val="24"/>
          <w:lang w:eastAsia="pt-BR"/>
        </w:rPr>
        <w:t>DAS PENALIDADES: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o fornecedor que incorra em infrações, sujeita-se às seguintes sanções administrativas: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a)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advertência;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b)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multa;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>c)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suspensão temporária de participação em licitação e impedimento de contratar com a Administração, por prazo não superior a 02 (dois) anos; 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d)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declaração de inidoneidade para licitar ou contratar com a Administração Pública, por prazo não superior a 05 (cinco) anos;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As sanções previstas nas alíneas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“a”, “c” e “d”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do item anterior poderão ser aplicadas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ao contratado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cumulativamente com a multa.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4.2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Advertência será aplicada por conduta que prejudique o andamento do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procedimento de contratação.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4.3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1% (um por cento) sobre o valor total do lote no qual participou, será aplicada a quem: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retardar ou impedir o andamento do procedimento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de contratação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não mantiver sua proposta;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apresentar declaração falsa;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deixar de apresentar documento na fase de saneamento.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4.4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0,1% (zero vírgula um por cento) até 5% (cinco por cento) sobre o valor total do lote no qual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participou, será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aplicada a quem: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apresentar documento falso;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de forma injustificada, deixar de assinar o contrato ou instrumento equivalente;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foi advertido e reincidiu pelo(s) mesmo(s) motivo(s).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4.5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Será aplicada multa de mora diária de até 0,3% (zero vírgula três por cento), calculada sobre o valor global do contrato, até o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10º (décimo) dia de atraso na entrega do objeto contratual; a partir do 11º (décimo primeiro) dia será cabível a multa compensatória prevista no item 4.6.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4.6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multa, de 10% (dez por cento) até 20% (vinte por cento) sobre o valor total do contrato, será aplicada no caso de inexecução total ou parcial do contrato.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4.7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suspensão temporária de participação em licitação e impedimento de contratar com a Administração, pelo prazo de até 02 (dois) anos, será aplicada ao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contratado que: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bookmarkStart w:id="0" w:name="4913614"/>
      <w:bookmarkEnd w:id="0"/>
      <w:r w:rsidRPr="00E95F27">
        <w:rPr>
          <w:rFonts w:eastAsia="Times New Roman"/>
          <w:color w:val="000000"/>
          <w:sz w:val="24"/>
          <w:szCs w:val="24"/>
          <w:lang w:eastAsia="pt-BR"/>
        </w:rPr>
        <w:t>a) recusar-se injustificadamente, após ser escolhido pela Administração, a assinar o contrato, aceitar ou retirar o instrumento equivalente, dentro do prazo estabelecido pela Administração;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bookmarkStart w:id="1" w:name="4913815"/>
      <w:bookmarkEnd w:id="1"/>
      <w:r w:rsidRPr="00E95F27">
        <w:rPr>
          <w:rFonts w:eastAsia="Times New Roman"/>
          <w:sz w:val="24"/>
          <w:szCs w:val="24"/>
          <w:lang w:eastAsia="pt-BR"/>
        </w:rPr>
        <w:lastRenderedPageBreak/>
        <w:t>b) não mantiver sua proposta;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abandonar a execução do contrato;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incorrer em inexecução contratual.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4.8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declaração de inidoneidade para licitar ou contratar com a Administração Pública, pelo prazo de até 05 (cinco) anos, será aplicada a quem: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fizer declaração falsa na fase de habilitação;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lang w:eastAsia="pt-BR"/>
        </w:rPr>
        <w:t>b) apresentar documento falso;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frustrar ou fraudar, mediante ajuste, combinação ou qualquer outro expediente, o procedimento;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afastar ou procurar afastar participante, por meio de violência, grave ameaça, fraude ou oferecimento de vantagem de qualquer tipo;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e) agir de má-fé na relação contratual, comprovada em procedimento específico;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f) tenha sofrido condenação judicial definitiva por praticar, por meios dolosos, fraude fiscal no recolhimento de quaisquer tributos;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g) demonstrar não possuir idoneidade para contratar com a Administração, em virtude de atos ilícitos praticados, em especial, infrações à ordem econômica definidos na Lei Federal nº 12.529/2011;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h) tenha sofrido condenação definitiva por ato de improbidade administrativa, na forma da lei.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4.9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A autoridade máxima do órgão ou entidade é a autoridade competente para impor as penalidades previstas no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 xml:space="preserve"> item 4, alíneas “c” e “d”. 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4.10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Estendem-se os efeitos da penalidade de suspensão do direito de contratar com a Administração ou da declaração de inidoneidade: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a) às pessoas físicas que constituíram a pessoa jurídica, as quais permanecem impedidas de licitar com a Administração Pública enquanto perdurarem as causas da penalidade, independentemente de nova pessoa jurídica que vierem a constituir ou de outra em que figurarem como sócios;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às pessoas jurídicas que tenham sócios comuns com as pessoas físicas referidas no inciso anterior.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4.11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Na aplicação das sanções, a Administração observará as seguintes circunstâncias: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lastRenderedPageBreak/>
        <w:t>a) proporcionalidade entre a sanção, a gravidade da infração e o vulto econômico da contratação;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b) os danos resultantes da infração;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c) situação econômico-financeira da sancionada, em especial sua capacidade de geração de receitas e seu patrimônio, no caso de aplicação de multa;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d) reincidência, assim entendida a repetição de infração de igual natureza após aplicação da sanção anterior; e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e) circunstâncias gerais agravantes ou atenuantes da infração.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4.12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Nos casos não previstos no Termo de Dispensa de Licitação ou neste contrato, inclusive sobre o procedimento de aplicação das sanções administrativas, deverão ser observadas as disposições da Lei Estadual nº 15.608/2007 e da Lei Federal nº 8.666/1993.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4.13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Sem prejuízo das penalidades previstas nas cláusulas anteriores, a responsabilização administrativa e civil de pessoas jurídicas pela prática de atos contra a Administração Pública, nacional ou estrangeira, na participação da presente aquisição e nos contratos ou vínculos derivados, também se dará na forma prevista na Lei Federal nº 12.846/2013, regulamentada, no âmbito do Estado do Paraná, pelo Decreto Estadual nº 10.271/2014.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4.14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 Quaisquer penalidades aplicadas serão transcritas no Cadastro Unificado de Fornecedores do Estado do Paraná (CFPR).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sz w:val="24"/>
          <w:szCs w:val="24"/>
          <w:shd w:val="clear" w:color="auto" w:fill="FFFFFF"/>
          <w:lang w:eastAsia="pt-BR"/>
        </w:rPr>
        <w:t xml:space="preserve">4.15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Todas as penalidades descritas neste contrato somente serão efetivamente aplicadas após instauração de regular processo administrativo.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ind w:left="28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4.16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Após decisão definitiva proferida no processo administrativo, as multas aplicadas deverão ser recolhidas à conta do Contratante, no prazo de 05 (cinco) dias úteis a contar da data da notificação, sob pena de seu valor ser descontado da garantia do contrato,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se existente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, ou do documento de cobrança, na ocasião do pagamento, podendo, ainda, ser exigida judicialmente.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 DOS CASOS DE RESCISÃO: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presente instrumento poderá ser rescindido: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a)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por ato unilateral e escrito da Administração, nos casos enumerados nos incisos I a XII e XVII a XX do art. 129 da Lei Estadual n.º 15.608/2007;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b)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amigavelmente, por acordo entre as partes, reduzidas a termo no respectivo procedimento administrativo, desde que haja conveniência para a Administração; ou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c)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judicialmente, nos termos da legislação.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lastRenderedPageBreak/>
        <w:t xml:space="preserve">5.1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No caso de rescisão amigável, a parte que pretender rescindir comunicará sua intenção à outra, por escrito.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5.2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Os casos de rescisão devem ser formalmente motivados nos autos do processo, assegurado o contraditório e o direito de prévia e ampla defesa ao fornecedor.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5.3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O fornecedor, desde já, reconhece todos os direitos da Administração Pública, em caso de rescisão administrativa por inexecução total ou parcial deste instrumento.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6 DA LEGISLAÇÃO APLICÁVEL: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 xml:space="preserve">Este instrumento é regido pela Lei Estadual n.º 15.608/2007, pela </w:t>
      </w:r>
      <w:r w:rsidRPr="00E95F27">
        <w:rPr>
          <w:rFonts w:eastAsia="Times New Roman"/>
          <w:color w:val="000000"/>
          <w:sz w:val="24"/>
          <w:szCs w:val="24"/>
          <w:lang w:eastAsia="pt-BR"/>
        </w:rPr>
        <w:t>Lei Federal n.º 13.979/2020, com as alterações promovidas pela Medida Provisória nº 926, de 20 de março de 2020, e, subsidiariamente, pela Lei Federal n.º 8.666/1993 e demais leis estaduais e federais sobre contratos administrativos, aplicando-se referida legislação aos casos omissos no presente instrumento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  <w:bookmarkStart w:id="2" w:name="_GoBack"/>
      <w:bookmarkEnd w:id="2"/>
      <w:r w:rsidRPr="00E95F27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 xml:space="preserve">7 DO FORO: </w:t>
      </w:r>
      <w:r w:rsidRPr="00E95F27">
        <w:rPr>
          <w:rFonts w:eastAsia="Times New Roman"/>
          <w:color w:val="000000"/>
          <w:sz w:val="24"/>
          <w:szCs w:val="24"/>
          <w:shd w:val="clear" w:color="auto" w:fill="FFFFFF"/>
          <w:lang w:eastAsia="pt-BR"/>
        </w:rPr>
        <w:t>As questões decorrentes da execução deste instrumento, que não possam ser dirimidas administrativamente, serão processadas e julgadas na Justiça Estadual, no Foro Central da Comarca da Região Metropolitana de Curitiba – PR, com exclusão de qualquer outro, por mais privilegiado que seja.</w:t>
      </w: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</w:p>
    <w:p w:rsidR="00E95F27" w:rsidRPr="00E95F27" w:rsidRDefault="00E95F27" w:rsidP="00E95F27">
      <w:pPr>
        <w:widowControl/>
        <w:autoSpaceDE/>
        <w:autoSpaceDN/>
        <w:spacing w:before="100" w:beforeAutospacing="1" w:after="100" w:afterAutospacing="1"/>
        <w:rPr>
          <w:rFonts w:eastAsia="Times New Roman"/>
          <w:sz w:val="24"/>
          <w:szCs w:val="24"/>
          <w:lang w:eastAsia="pt-BR"/>
        </w:rPr>
      </w:pPr>
    </w:p>
    <w:p w:rsidR="00F62BCD" w:rsidRPr="00E95F27" w:rsidRDefault="00F62BCD" w:rsidP="00E95F27">
      <w:pPr>
        <w:pStyle w:val="Corpodetexto"/>
        <w:spacing w:before="57" w:after="57"/>
        <w:ind w:left="27"/>
        <w:jc w:val="both"/>
      </w:pPr>
    </w:p>
    <w:sectPr w:rsidR="00F62BCD" w:rsidRPr="00E95F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CD"/>
    <w:rsid w:val="0035265D"/>
    <w:rsid w:val="004A7DCA"/>
    <w:rsid w:val="00976DCB"/>
    <w:rsid w:val="00DC684B"/>
    <w:rsid w:val="00E95F27"/>
    <w:rsid w:val="00F6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DAC89-118E-4561-9680-053D1AE1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B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F62BCD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F62BCD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F62BCD"/>
    <w:pPr>
      <w:ind w:left="953" w:hanging="36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F62B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2BCD"/>
    <w:rPr>
      <w:rFonts w:ascii="Arial" w:eastAsia="Arial" w:hAnsi="Arial" w:cs="Arial"/>
      <w:lang w:val="pt-PT"/>
    </w:rPr>
  </w:style>
  <w:style w:type="character" w:customStyle="1" w:styleId="Fontepargpadro1">
    <w:name w:val="Fonte parág. padrão1"/>
    <w:qFormat/>
    <w:rsid w:val="00F62BCD"/>
  </w:style>
  <w:style w:type="paragraph" w:styleId="NormalWeb">
    <w:name w:val="Normal (Web)"/>
    <w:basedOn w:val="Normal"/>
    <w:uiPriority w:val="99"/>
    <w:semiHidden/>
    <w:unhideWhenUsed/>
    <w:rsid w:val="00E95F2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western">
    <w:name w:val="western"/>
    <w:basedOn w:val="Normal"/>
    <w:rsid w:val="00E95F27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1699</Words>
  <Characters>9177</Characters>
  <Application>Microsoft Office Word</Application>
  <DocSecurity>0</DocSecurity>
  <Lines>76</Lines>
  <Paragraphs>21</Paragraphs>
  <ScaleCrop>false</ScaleCrop>
  <Company/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 bonatto</dc:creator>
  <cp:keywords/>
  <dc:description/>
  <cp:lastModifiedBy>hamilton bonatto</cp:lastModifiedBy>
  <cp:revision>2</cp:revision>
  <dcterms:created xsi:type="dcterms:W3CDTF">2020-03-23T13:34:00Z</dcterms:created>
  <dcterms:modified xsi:type="dcterms:W3CDTF">2020-03-23T14:17:00Z</dcterms:modified>
</cp:coreProperties>
</file>