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DD0" w:rsidRPr="00557A4F" w:rsidRDefault="00563DD0" w:rsidP="00563DD0">
      <w:pPr>
        <w:pStyle w:val="Textbody"/>
        <w:shd w:val="clear" w:color="auto" w:fill="D0CECE"/>
        <w:spacing w:after="0" w:line="240" w:lineRule="auto"/>
        <w:ind w:left="113" w:right="108" w:firstLine="1423"/>
        <w:jc w:val="center"/>
        <w:rPr>
          <w:rFonts w:ascii="Abel" w:hAnsi="Abel"/>
          <w:b/>
          <w:bCs/>
        </w:rPr>
      </w:pPr>
      <w:r w:rsidRPr="00557A4F">
        <w:rPr>
          <w:rFonts w:ascii="Abel" w:hAnsi="Abel"/>
          <w:b/>
          <w:bCs/>
        </w:rPr>
        <w:t xml:space="preserve">ANEXO II – LISTA DE VERIFICAÇÃO </w:t>
      </w:r>
    </w:p>
    <w:p w:rsidR="00563DD0" w:rsidRDefault="00563DD0" w:rsidP="00563DD0">
      <w:pPr>
        <w:pStyle w:val="Textbody"/>
        <w:shd w:val="clear" w:color="auto" w:fill="D0CECE"/>
        <w:spacing w:after="0" w:line="240" w:lineRule="auto"/>
        <w:ind w:left="113" w:right="108" w:firstLine="1423"/>
        <w:jc w:val="center"/>
        <w:rPr>
          <w:rFonts w:ascii="Abel" w:hAnsi="Abel"/>
          <w:b/>
          <w:bCs/>
        </w:rPr>
      </w:pPr>
      <w:r w:rsidRPr="00557A4F">
        <w:rPr>
          <w:rFonts w:ascii="Abel" w:hAnsi="Abel"/>
          <w:b/>
          <w:bCs/>
        </w:rPr>
        <w:t>– TERMO ADITIVO – PRESTAÇÃO DE SERVIÇOS –</w:t>
      </w:r>
    </w:p>
    <w:p w:rsidR="00563DD0" w:rsidRPr="00557A4F" w:rsidRDefault="00563DD0" w:rsidP="00563DD0">
      <w:pPr>
        <w:pStyle w:val="Textbody"/>
        <w:shd w:val="clear" w:color="auto" w:fill="D0CECE"/>
        <w:spacing w:after="0" w:line="240" w:lineRule="auto"/>
        <w:ind w:left="113" w:right="108" w:firstLine="1423"/>
        <w:jc w:val="center"/>
        <w:rPr>
          <w:rFonts w:ascii="Abel" w:hAnsi="Abel"/>
          <w:b/>
          <w:bCs/>
        </w:rPr>
      </w:pPr>
      <w:r>
        <w:rPr>
          <w:rFonts w:ascii="Abel" w:hAnsi="Abel"/>
          <w:b/>
          <w:bCs/>
        </w:rPr>
        <w:t>Lei Estadual nº 20.170/2020</w:t>
      </w:r>
    </w:p>
    <w:p w:rsidR="00563DD0" w:rsidRPr="00557A4F" w:rsidRDefault="00563DD0" w:rsidP="00563DD0">
      <w:pPr>
        <w:pStyle w:val="Textbody"/>
        <w:shd w:val="clear" w:color="auto" w:fill="D0CECE"/>
        <w:spacing w:after="0" w:line="240" w:lineRule="auto"/>
        <w:ind w:left="113" w:right="108" w:firstLine="1423"/>
        <w:jc w:val="center"/>
        <w:rPr>
          <w:rFonts w:ascii="Abel" w:hAnsi="Abel"/>
          <w:b/>
          <w:bCs/>
          <w:sz w:val="21"/>
          <w:szCs w:val="21"/>
        </w:rPr>
      </w:pPr>
      <w:r w:rsidRPr="00557A4F">
        <w:rPr>
          <w:rFonts w:ascii="Abel" w:hAnsi="Abel"/>
          <w:b/>
          <w:bCs/>
          <w:sz w:val="21"/>
          <w:szCs w:val="21"/>
        </w:rPr>
        <w:t>(ALTER</w:t>
      </w:r>
      <w:bookmarkStart w:id="0" w:name="_GoBack"/>
      <w:bookmarkEnd w:id="0"/>
      <w:r w:rsidRPr="00557A4F">
        <w:rPr>
          <w:rFonts w:ascii="Abel" w:hAnsi="Abel"/>
          <w:b/>
          <w:bCs/>
          <w:sz w:val="21"/>
          <w:szCs w:val="21"/>
        </w:rPr>
        <w:t>AÇÃO QUANTITATIVA DO OBJETO –</w:t>
      </w:r>
      <w:r>
        <w:rPr>
          <w:rFonts w:ascii="Abel" w:hAnsi="Abel"/>
          <w:b/>
          <w:bCs/>
          <w:sz w:val="21"/>
          <w:szCs w:val="21"/>
        </w:rPr>
        <w:t xml:space="preserve"> </w:t>
      </w:r>
      <w:r w:rsidRPr="00557A4F">
        <w:rPr>
          <w:rFonts w:ascii="Abel" w:hAnsi="Abel"/>
          <w:b/>
          <w:bCs/>
          <w:sz w:val="21"/>
          <w:szCs w:val="21"/>
        </w:rPr>
        <w:t>SUPRESSÃO)</w:t>
      </w:r>
    </w:p>
    <w:p w:rsidR="00563DD0" w:rsidRPr="00557A4F" w:rsidRDefault="00563DD0" w:rsidP="00563DD0">
      <w:pPr>
        <w:pStyle w:val="Textbody"/>
        <w:shd w:val="clear" w:color="auto" w:fill="D0CECE"/>
        <w:spacing w:after="0" w:line="240" w:lineRule="auto"/>
        <w:ind w:left="113" w:right="108" w:firstLine="1423"/>
        <w:jc w:val="center"/>
        <w:rPr>
          <w:rFonts w:ascii="Abel" w:hAnsi="Abel"/>
          <w:b/>
          <w:bCs/>
        </w:rPr>
      </w:pPr>
    </w:p>
    <w:tbl>
      <w:tblPr>
        <w:tblW w:w="4545" w:type="dxa"/>
        <w:tblInd w:w="4478" w:type="dxa"/>
        <w:tblLayout w:type="fixed"/>
        <w:tblCellMar>
          <w:left w:w="10" w:type="dxa"/>
          <w:right w:w="10" w:type="dxa"/>
        </w:tblCellMar>
        <w:tblLook w:val="04A0" w:firstRow="1" w:lastRow="0" w:firstColumn="1" w:lastColumn="0" w:noHBand="0" w:noVBand="1"/>
      </w:tblPr>
      <w:tblGrid>
        <w:gridCol w:w="4545"/>
      </w:tblGrid>
      <w:tr w:rsidR="00563DD0" w:rsidRPr="00557A4F" w:rsidTr="001B2147">
        <w:trPr>
          <w:trHeight w:val="416"/>
        </w:trPr>
        <w:tc>
          <w:tcPr>
            <w:tcW w:w="454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Standard"/>
              <w:shd w:val="clear" w:color="auto" w:fill="FFFFFF"/>
              <w:tabs>
                <w:tab w:val="left" w:pos="284"/>
              </w:tabs>
              <w:spacing w:line="100" w:lineRule="atLeast"/>
              <w:jc w:val="both"/>
              <w:rPr>
                <w:rFonts w:ascii="Abel" w:hAnsi="Abel"/>
                <w:sz w:val="24"/>
                <w:szCs w:val="24"/>
              </w:rPr>
            </w:pPr>
            <w:r w:rsidRPr="00557A4F">
              <w:rPr>
                <w:rStyle w:val="Fontepargpadro1"/>
                <w:rFonts w:ascii="Abel" w:eastAsia="Myriad Pro" w:hAnsi="Abel"/>
                <w:b/>
                <w:bCs/>
                <w:color w:val="000000"/>
                <w:shd w:val="clear" w:color="auto" w:fill="FFFFFF"/>
              </w:rPr>
              <w:t>Protocolo n.º</w:t>
            </w:r>
          </w:p>
        </w:tc>
      </w:tr>
      <w:tr w:rsidR="00563DD0" w:rsidRPr="00557A4F" w:rsidTr="001B2147">
        <w:trPr>
          <w:trHeight w:val="276"/>
        </w:trPr>
        <w:tc>
          <w:tcPr>
            <w:tcW w:w="454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Standard"/>
              <w:shd w:val="clear" w:color="auto" w:fill="FFFFFF"/>
              <w:tabs>
                <w:tab w:val="left" w:pos="284"/>
              </w:tabs>
              <w:spacing w:line="100" w:lineRule="atLeast"/>
              <w:rPr>
                <w:rFonts w:ascii="Abel" w:hAnsi="Abel"/>
              </w:rPr>
            </w:pPr>
            <w:r w:rsidRPr="00557A4F">
              <w:rPr>
                <w:rStyle w:val="Fontepargpadro1"/>
                <w:rFonts w:ascii="Abel" w:eastAsia="Myriad Pro" w:hAnsi="Abel"/>
                <w:b/>
                <w:bCs/>
                <w:color w:val="000000"/>
                <w:shd w:val="clear" w:color="auto" w:fill="FFFFFF"/>
              </w:rPr>
              <w:t>Contrato n.º</w:t>
            </w:r>
          </w:p>
        </w:tc>
      </w:tr>
    </w:tbl>
    <w:p w:rsidR="00563DD0" w:rsidRPr="00557A4F" w:rsidRDefault="00563DD0" w:rsidP="00563DD0">
      <w:pPr>
        <w:pStyle w:val="Standard"/>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jc w:val="center"/>
        <w:rPr>
          <w:rFonts w:ascii="Abel" w:hAnsi="Abel" w:cs="Times New Roman"/>
        </w:rPr>
      </w:pPr>
    </w:p>
    <w:tbl>
      <w:tblPr>
        <w:tblW w:w="9015" w:type="dxa"/>
        <w:tblLayout w:type="fixed"/>
        <w:tblCellMar>
          <w:left w:w="10" w:type="dxa"/>
          <w:right w:w="10" w:type="dxa"/>
        </w:tblCellMar>
        <w:tblLook w:val="04A0" w:firstRow="1" w:lastRow="0" w:firstColumn="1" w:lastColumn="0" w:noHBand="0" w:noVBand="1"/>
      </w:tblPr>
      <w:tblGrid>
        <w:gridCol w:w="678"/>
        <w:gridCol w:w="7061"/>
        <w:gridCol w:w="1276"/>
      </w:tblGrid>
      <w:tr w:rsidR="00563DD0" w:rsidRPr="00557A4F" w:rsidTr="001B2147">
        <w:tc>
          <w:tcPr>
            <w:tcW w:w="9014" w:type="dxa"/>
            <w:gridSpan w:val="3"/>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extbody"/>
              <w:shd w:val="clear" w:color="auto" w:fill="D0CECE"/>
              <w:spacing w:line="312" w:lineRule="auto"/>
              <w:ind w:right="113"/>
              <w:jc w:val="center"/>
              <w:rPr>
                <w:rFonts w:ascii="Abel" w:eastAsia="Arial" w:hAnsi="Abel" w:cs="Arial"/>
                <w:b/>
                <w:bCs/>
                <w:lang w:val="pt-PT"/>
              </w:rPr>
            </w:pPr>
            <w:r w:rsidRPr="00557A4F">
              <w:rPr>
                <w:rFonts w:ascii="Abel" w:hAnsi="Abel"/>
                <w:b/>
                <w:bCs/>
              </w:rPr>
              <w:t>DOCUMENTOS DE INSTRUÇÃO OBRIGATÓRIOS AO TERMO ADITIVO</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01.</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Justificativa escrita e fundamentada para o aditivo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02.</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Indicação do fato superveniente à contratação que justifica o aditivo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03.</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Comprovação de que o contrato que se pretende aditar ainda está vigente</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04.</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Cópias do contrato original e de seus eventuais termos aditivos e apostilamentos anteriores (caso os protocolados originais não tenham sido anexados ao processo)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05.</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Indicação do dispositivo legal aplicável ao aditamento do contrato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06.</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Planilha indicando quais despesas diretas e indiretas, insumos, equipamentos e demais recursos deixarão de ser pagos, integralmente ou parcialmente, durante o período do aditivo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07.</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Planilha de cálculo do percentual de supressão quantitativa</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08.</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Manifestação de concordância da Contratada</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09.</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 xml:space="preserve">Comprovação da manutenção </w:t>
            </w:r>
            <w:bookmarkStart w:id="1" w:name="1452733"/>
            <w:bookmarkEnd w:id="1"/>
            <w:r w:rsidRPr="00557A4F">
              <w:rPr>
                <w:rFonts w:ascii="Abel" w:hAnsi="Abel"/>
              </w:rPr>
              <w:t>do vínculo de trabalho do pessoal que realiza os serviços terceirizados na Administração Pública</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10.</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 xml:space="preserve">Comprovação de que a Contratada </w:t>
            </w:r>
            <w:bookmarkStart w:id="2" w:name="14527339"/>
            <w:bookmarkEnd w:id="2"/>
            <w:r w:rsidRPr="00557A4F">
              <w:rPr>
                <w:rFonts w:ascii="Abel" w:hAnsi="Abel"/>
              </w:rPr>
              <w:t>efetuou os pagamentos salariais de seus empregados</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11.</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Termo Aditivo elaborado conforme Minuta Padronizada – Anexo I do Parecer Referencial nº 02/2020 - PGE</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bookmarkStart w:id="3" w:name="_Hlk36107687"/>
            <w:bookmarkEnd w:id="3"/>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12.</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Autorização da autoridade competente</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bl>
    <w:p w:rsidR="00563DD0" w:rsidRPr="00557A4F" w:rsidRDefault="00563DD0" w:rsidP="00563DD0">
      <w:pPr>
        <w:pStyle w:val="Standard"/>
        <w:shd w:val="clear" w:color="auto" w:fill="FFFFFF"/>
        <w:tabs>
          <w:tab w:val="left" w:pos="284"/>
        </w:tabs>
        <w:spacing w:line="100" w:lineRule="atLeast"/>
        <w:rPr>
          <w:rFonts w:ascii="Abel" w:eastAsia="Calibri" w:hAnsi="Abel" w:cs="Calibri"/>
        </w:rPr>
      </w:pPr>
    </w:p>
    <w:tbl>
      <w:tblPr>
        <w:tblW w:w="9015" w:type="dxa"/>
        <w:tblLayout w:type="fixed"/>
        <w:tblCellMar>
          <w:left w:w="10" w:type="dxa"/>
          <w:right w:w="10" w:type="dxa"/>
        </w:tblCellMar>
        <w:tblLook w:val="04A0" w:firstRow="1" w:lastRow="0" w:firstColumn="1" w:lastColumn="0" w:noHBand="0" w:noVBand="1"/>
      </w:tblPr>
      <w:tblGrid>
        <w:gridCol w:w="678"/>
        <w:gridCol w:w="7061"/>
        <w:gridCol w:w="1276"/>
      </w:tblGrid>
      <w:tr w:rsidR="00563DD0" w:rsidRPr="00557A4F" w:rsidTr="001B2147">
        <w:tc>
          <w:tcPr>
            <w:tcW w:w="9014" w:type="dxa"/>
            <w:gridSpan w:val="3"/>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extbody"/>
              <w:shd w:val="clear" w:color="auto" w:fill="D0CECE"/>
              <w:spacing w:line="256" w:lineRule="auto"/>
              <w:ind w:right="113"/>
              <w:jc w:val="center"/>
              <w:rPr>
                <w:rFonts w:ascii="Abel" w:eastAsia="Arial" w:hAnsi="Abel" w:cs="Arial"/>
                <w:b/>
                <w:bCs/>
              </w:rPr>
            </w:pPr>
            <w:r w:rsidRPr="00557A4F">
              <w:rPr>
                <w:rFonts w:ascii="Abel" w:hAnsi="Abel"/>
                <w:b/>
                <w:bCs/>
              </w:rPr>
              <w:t>HABILITAÇÃO, REGULARIDADE FISCAL E TRABALHISTA</w:t>
            </w:r>
          </w:p>
        </w:tc>
      </w:tr>
      <w:tr w:rsidR="00563DD0" w:rsidRPr="00557A4F" w:rsidTr="001B2147">
        <w:tc>
          <w:tcPr>
            <w:tcW w:w="678"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lastRenderedPageBreak/>
              <w:t>01.</w:t>
            </w:r>
          </w:p>
        </w:tc>
        <w:tc>
          <w:tcPr>
            <w:tcW w:w="7060"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Comprovação da manutenção dos requisitos de habilitação exigidos no procedimento licitatório que originou a contratação</w:t>
            </w:r>
          </w:p>
        </w:tc>
        <w:tc>
          <w:tcPr>
            <w:tcW w:w="12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02.</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Certidão de Regularidade com a Fazenda Federal, inclusive, quanto aos débitos e às contribuições previdenciárias</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03.</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Certidão de Regularidade com a Fazenda Estadual do Paraná</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04.</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Certidão de Regularidade com a Fazenda do Estado de origem (quando sediada em outro Estado)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05.</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Certidão de Regularidade com a Fazenda Municipal</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06.</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Certidão de Regularidade perante a Justiça do Trabalho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07.</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Certificado de Regularidade com o FGTS</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bookmarkStart w:id="4" w:name="_Hlk36107873"/>
            <w:bookmarkEnd w:id="4"/>
          </w:p>
        </w:tc>
      </w:tr>
    </w:tbl>
    <w:p w:rsidR="00563DD0" w:rsidRPr="00557A4F" w:rsidRDefault="00563DD0" w:rsidP="00563DD0">
      <w:pPr>
        <w:pStyle w:val="Standard"/>
        <w:shd w:val="clear" w:color="auto" w:fill="FFFFFF"/>
        <w:tabs>
          <w:tab w:val="left" w:pos="284"/>
        </w:tabs>
        <w:spacing w:line="100" w:lineRule="atLeast"/>
        <w:rPr>
          <w:rFonts w:ascii="Abel" w:eastAsia="Calibri" w:hAnsi="Abel" w:cs="Calibri"/>
        </w:rPr>
      </w:pPr>
    </w:p>
    <w:tbl>
      <w:tblPr>
        <w:tblW w:w="9015" w:type="dxa"/>
        <w:tblLayout w:type="fixed"/>
        <w:tblCellMar>
          <w:left w:w="10" w:type="dxa"/>
          <w:right w:w="10" w:type="dxa"/>
        </w:tblCellMar>
        <w:tblLook w:val="04A0" w:firstRow="1" w:lastRow="0" w:firstColumn="1" w:lastColumn="0" w:noHBand="0" w:noVBand="1"/>
      </w:tblPr>
      <w:tblGrid>
        <w:gridCol w:w="678"/>
        <w:gridCol w:w="7061"/>
        <w:gridCol w:w="1276"/>
      </w:tblGrid>
      <w:tr w:rsidR="00563DD0" w:rsidRPr="00557A4F" w:rsidTr="001B2147">
        <w:tc>
          <w:tcPr>
            <w:tcW w:w="9014" w:type="dxa"/>
            <w:gridSpan w:val="3"/>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extbody"/>
              <w:shd w:val="clear" w:color="auto" w:fill="D0CECE"/>
              <w:spacing w:line="256" w:lineRule="auto"/>
              <w:ind w:right="113"/>
              <w:jc w:val="center"/>
              <w:rPr>
                <w:rFonts w:ascii="Abel" w:eastAsia="Arial" w:hAnsi="Abel" w:cs="Arial"/>
                <w:b/>
                <w:bCs/>
              </w:rPr>
            </w:pPr>
            <w:r w:rsidRPr="00557A4F">
              <w:rPr>
                <w:rFonts w:ascii="Abel" w:hAnsi="Abel"/>
                <w:b/>
                <w:bCs/>
              </w:rPr>
              <w:t>DOCUMENTOS ORÇAMENTÁRIOS E FINANCEIROS</w:t>
            </w:r>
          </w:p>
        </w:tc>
      </w:tr>
      <w:tr w:rsidR="00563DD0" w:rsidRPr="00557A4F" w:rsidTr="001B2147">
        <w:tc>
          <w:tcPr>
            <w:tcW w:w="678"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01.</w:t>
            </w:r>
          </w:p>
        </w:tc>
        <w:tc>
          <w:tcPr>
            <w:tcW w:w="7060"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Informação do setor competente indicando a dotação orçamentária</w:t>
            </w:r>
          </w:p>
        </w:tc>
        <w:tc>
          <w:tcPr>
            <w:tcW w:w="12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02.</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Quadro de Detalhamento da Despesa - QDD</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03.</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Declaração de Adequação da Despesa e de Regularidade do Pedido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bookmarkStart w:id="5" w:name="_Hlk36107892"/>
            <w:bookmarkEnd w:id="5"/>
          </w:p>
        </w:tc>
      </w:tr>
    </w:tbl>
    <w:p w:rsidR="00563DD0" w:rsidRPr="00557A4F" w:rsidRDefault="00563DD0" w:rsidP="00563DD0">
      <w:pPr>
        <w:pStyle w:val="Standard"/>
        <w:shd w:val="clear" w:color="auto" w:fill="FFFFFF"/>
        <w:tabs>
          <w:tab w:val="left" w:pos="284"/>
        </w:tabs>
        <w:spacing w:line="100" w:lineRule="atLeast"/>
        <w:rPr>
          <w:rFonts w:ascii="Abel" w:eastAsia="Calibri" w:hAnsi="Abel" w:cs="Calibri"/>
        </w:rPr>
      </w:pPr>
    </w:p>
    <w:tbl>
      <w:tblPr>
        <w:tblW w:w="9015" w:type="dxa"/>
        <w:tblLayout w:type="fixed"/>
        <w:tblCellMar>
          <w:left w:w="10" w:type="dxa"/>
          <w:right w:w="10" w:type="dxa"/>
        </w:tblCellMar>
        <w:tblLook w:val="04A0" w:firstRow="1" w:lastRow="0" w:firstColumn="1" w:lastColumn="0" w:noHBand="0" w:noVBand="1"/>
      </w:tblPr>
      <w:tblGrid>
        <w:gridCol w:w="678"/>
        <w:gridCol w:w="7061"/>
        <w:gridCol w:w="1276"/>
      </w:tblGrid>
      <w:tr w:rsidR="00563DD0" w:rsidRPr="00557A4F" w:rsidTr="001B2147">
        <w:tc>
          <w:tcPr>
            <w:tcW w:w="9014" w:type="dxa"/>
            <w:gridSpan w:val="3"/>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extbody"/>
              <w:shd w:val="clear" w:color="auto" w:fill="D0CECE"/>
              <w:spacing w:line="256" w:lineRule="auto"/>
              <w:ind w:right="113"/>
              <w:jc w:val="center"/>
              <w:rPr>
                <w:rFonts w:ascii="Abel" w:eastAsia="Arial" w:hAnsi="Abel" w:cs="Arial"/>
                <w:b/>
                <w:bCs/>
              </w:rPr>
            </w:pPr>
            <w:r w:rsidRPr="00557A4F">
              <w:rPr>
                <w:rFonts w:ascii="Abel" w:hAnsi="Abel"/>
                <w:b/>
                <w:bCs/>
              </w:rPr>
              <w:t>CONSULTAS PRÉVIAS OBRIGATÓRIAS</w:t>
            </w:r>
          </w:p>
        </w:tc>
      </w:tr>
      <w:tr w:rsidR="00563DD0" w:rsidRPr="00557A4F" w:rsidTr="001B2147">
        <w:tc>
          <w:tcPr>
            <w:tcW w:w="678"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01.</w:t>
            </w:r>
          </w:p>
        </w:tc>
        <w:tc>
          <w:tcPr>
            <w:tcW w:w="7060"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Consulta à relação de empresas suspensas ou impedidas de contratar – GMS</w:t>
            </w:r>
          </w:p>
        </w:tc>
        <w:tc>
          <w:tcPr>
            <w:tcW w:w="12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02.</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rPr>
            </w:pPr>
            <w:r w:rsidRPr="00557A4F">
              <w:rPr>
                <w:rFonts w:ascii="Abel" w:hAnsi="Abel"/>
              </w:rPr>
              <w:t>Consulta ao Cadastro Nacional das Empresas Inidôneas e Suspensas – CEIS</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03.</w:t>
            </w:r>
          </w:p>
        </w:tc>
        <w:tc>
          <w:tcPr>
            <w:tcW w:w="7060"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Consulta ao CADIN do Estado do Paraná</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bookmarkStart w:id="6" w:name="_Hlk36107902"/>
            <w:bookmarkEnd w:id="6"/>
          </w:p>
        </w:tc>
      </w:tr>
    </w:tbl>
    <w:p w:rsidR="00563DD0" w:rsidRPr="00557A4F" w:rsidRDefault="00563DD0" w:rsidP="00563DD0">
      <w:pPr>
        <w:pStyle w:val="Standard"/>
        <w:shd w:val="clear" w:color="auto" w:fill="FFFFFF"/>
        <w:tabs>
          <w:tab w:val="left" w:pos="284"/>
        </w:tabs>
        <w:spacing w:line="100" w:lineRule="atLeast"/>
        <w:rPr>
          <w:rFonts w:ascii="Abel" w:eastAsia="Calibri" w:hAnsi="Abel" w:cs="Calibri"/>
        </w:rPr>
      </w:pPr>
    </w:p>
    <w:tbl>
      <w:tblPr>
        <w:tblW w:w="9015" w:type="dxa"/>
        <w:tblInd w:w="3" w:type="dxa"/>
        <w:tblLayout w:type="fixed"/>
        <w:tblCellMar>
          <w:left w:w="10" w:type="dxa"/>
          <w:right w:w="10" w:type="dxa"/>
        </w:tblCellMar>
        <w:tblLook w:val="04A0" w:firstRow="1" w:lastRow="0" w:firstColumn="1" w:lastColumn="0" w:noHBand="0" w:noVBand="1"/>
      </w:tblPr>
      <w:tblGrid>
        <w:gridCol w:w="675"/>
        <w:gridCol w:w="7064"/>
        <w:gridCol w:w="1276"/>
      </w:tblGrid>
      <w:tr w:rsidR="00563DD0" w:rsidRPr="00557A4F" w:rsidTr="001B2147">
        <w:tc>
          <w:tcPr>
            <w:tcW w:w="9015" w:type="dxa"/>
            <w:gridSpan w:val="3"/>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extbody"/>
              <w:shd w:val="clear" w:color="auto" w:fill="D0CECE"/>
              <w:spacing w:line="256" w:lineRule="auto"/>
              <w:ind w:left="113" w:right="113"/>
              <w:jc w:val="center"/>
              <w:rPr>
                <w:rFonts w:ascii="Abel" w:eastAsia="Arial" w:hAnsi="Abel" w:cs="Arial"/>
                <w:b/>
                <w:bCs/>
              </w:rPr>
            </w:pPr>
            <w:r w:rsidRPr="00557A4F">
              <w:rPr>
                <w:rFonts w:ascii="Abel" w:hAnsi="Abel"/>
                <w:b/>
                <w:bCs/>
              </w:rPr>
              <w:t>DECLARAÇÕES FIRMADAS PELO CONTRATADO</w:t>
            </w:r>
          </w:p>
        </w:tc>
      </w:tr>
      <w:tr w:rsidR="00563DD0" w:rsidRPr="00557A4F" w:rsidTr="001B2147">
        <w:tc>
          <w:tcPr>
            <w:tcW w:w="675"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01.</w:t>
            </w:r>
          </w:p>
        </w:tc>
        <w:tc>
          <w:tcPr>
            <w:tcW w:w="7064"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cs="Times New Roman"/>
              </w:rPr>
            </w:pPr>
            <w:r w:rsidRPr="00557A4F">
              <w:rPr>
                <w:rFonts w:ascii="Abel" w:hAnsi="Abel"/>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tc>
        <w:tc>
          <w:tcPr>
            <w:tcW w:w="12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r w:rsidR="00563DD0" w:rsidRPr="00557A4F" w:rsidTr="001B2147">
        <w:tc>
          <w:tcPr>
            <w:tcW w:w="675"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lastRenderedPageBreak/>
              <w:t>02.</w:t>
            </w:r>
          </w:p>
        </w:tc>
        <w:tc>
          <w:tcPr>
            <w:tcW w:w="7064" w:type="dxa"/>
            <w:tcBorders>
              <w:top w:val="nil"/>
              <w:left w:val="single" w:sz="2" w:space="0" w:color="000001"/>
              <w:bottom w:val="single" w:sz="2" w:space="0" w:color="000001"/>
              <w:right w:val="nil"/>
            </w:tcBorders>
            <w:tcMar>
              <w:top w:w="55" w:type="dxa"/>
              <w:left w:w="55" w:type="dxa"/>
              <w:bottom w:w="55" w:type="dxa"/>
              <w:right w:w="55" w:type="dxa"/>
            </w:tcMar>
            <w:hideMark/>
          </w:tcPr>
          <w:p w:rsidR="00563DD0" w:rsidRPr="00557A4F" w:rsidRDefault="00563DD0" w:rsidP="001B2147">
            <w:pPr>
              <w:pStyle w:val="TableContents"/>
              <w:jc w:val="both"/>
              <w:rPr>
                <w:rFonts w:ascii="Abel" w:hAnsi="Abel" w:cs="Times New Roman"/>
              </w:rPr>
            </w:pPr>
            <w:r w:rsidRPr="00557A4F">
              <w:rPr>
                <w:rFonts w:ascii="Abel" w:hAnsi="Abel"/>
              </w:rPr>
              <w:t>Que não incide em nenhuma das situações impeditivas à contratação, indicadas no Decreto Estadual nº 2.485/2019, que veda o nepotismo nos órgãos e entidades estaduais nas contratações celebradas pela Administração Pública do Estado do Paraná.</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563DD0" w:rsidRPr="00557A4F" w:rsidRDefault="00563DD0" w:rsidP="001B2147">
            <w:pPr>
              <w:pStyle w:val="TableContents"/>
              <w:rPr>
                <w:rFonts w:ascii="Abel" w:hAnsi="Abel"/>
              </w:rPr>
            </w:pPr>
            <w:r w:rsidRPr="00557A4F">
              <w:rPr>
                <w:rFonts w:ascii="Abel" w:hAnsi="Abel"/>
              </w:rPr>
              <w:t>Fls. ______</w:t>
            </w:r>
          </w:p>
        </w:tc>
      </w:tr>
    </w:tbl>
    <w:p w:rsidR="00563DD0" w:rsidRPr="00557A4F" w:rsidRDefault="00563DD0" w:rsidP="00563DD0">
      <w:pPr>
        <w:pStyle w:val="Standard"/>
        <w:shd w:val="clear" w:color="auto" w:fill="FFFFFF"/>
        <w:tabs>
          <w:tab w:val="left" w:pos="284"/>
        </w:tabs>
        <w:spacing w:line="100" w:lineRule="atLeast"/>
        <w:rPr>
          <w:rFonts w:ascii="Abel" w:hAnsi="Abel" w:cs="Arial"/>
        </w:rPr>
      </w:pPr>
    </w:p>
    <w:tbl>
      <w:tblPr>
        <w:tblW w:w="9300" w:type="dxa"/>
        <w:shd w:val="clear" w:color="auto" w:fill="FFFF00"/>
        <w:tblLayout w:type="fixed"/>
        <w:tblCellMar>
          <w:left w:w="10" w:type="dxa"/>
          <w:right w:w="10" w:type="dxa"/>
        </w:tblCellMar>
        <w:tblLook w:val="04A0" w:firstRow="1" w:lastRow="0" w:firstColumn="1" w:lastColumn="0" w:noHBand="0" w:noVBand="1"/>
      </w:tblPr>
      <w:tblGrid>
        <w:gridCol w:w="9300"/>
      </w:tblGrid>
      <w:tr w:rsidR="00563DD0" w:rsidRPr="00557A4F" w:rsidTr="001B2147">
        <w:tc>
          <w:tcPr>
            <w:tcW w:w="9301" w:type="dxa"/>
            <w:tcBorders>
              <w:top w:val="single" w:sz="2" w:space="0" w:color="000001"/>
              <w:left w:val="single" w:sz="2" w:space="0" w:color="000001"/>
              <w:bottom w:val="single" w:sz="2" w:space="0" w:color="000001"/>
              <w:right w:val="single" w:sz="2" w:space="0" w:color="000001"/>
            </w:tcBorders>
            <w:shd w:val="clear" w:color="auto" w:fill="FFFF00"/>
            <w:tcMar>
              <w:top w:w="55" w:type="dxa"/>
              <w:left w:w="55" w:type="dxa"/>
              <w:bottom w:w="55" w:type="dxa"/>
              <w:right w:w="55" w:type="dxa"/>
            </w:tcMar>
          </w:tcPr>
          <w:p w:rsidR="00563DD0" w:rsidRDefault="00563DD0" w:rsidP="001B2147">
            <w:pPr>
              <w:pStyle w:val="Textbody"/>
              <w:shd w:val="clear" w:color="auto" w:fill="FFFF00"/>
              <w:jc w:val="both"/>
              <w:rPr>
                <w:rFonts w:ascii="Abel" w:hAnsi="Abel"/>
                <w:b/>
                <w:bCs/>
                <w:i/>
                <w:iCs/>
                <w:sz w:val="20"/>
                <w:szCs w:val="20"/>
              </w:rPr>
            </w:pPr>
            <w:r w:rsidRPr="003E770E">
              <w:rPr>
                <w:rFonts w:ascii="Abel" w:hAnsi="Abel"/>
                <w:b/>
                <w:bCs/>
                <w:i/>
                <w:iCs/>
                <w:sz w:val="20"/>
                <w:szCs w:val="20"/>
              </w:rPr>
              <w:t>Notas explicativas</w:t>
            </w:r>
          </w:p>
          <w:p w:rsidR="00563DD0" w:rsidRPr="003E770E" w:rsidRDefault="00563DD0" w:rsidP="001B2147">
            <w:pPr>
              <w:pStyle w:val="Textbody"/>
              <w:shd w:val="clear" w:color="auto" w:fill="FFFF00"/>
              <w:spacing w:line="240" w:lineRule="auto"/>
              <w:jc w:val="both"/>
              <w:rPr>
                <w:rFonts w:ascii="Abel" w:hAnsi="Abel"/>
                <w:b/>
                <w:bCs/>
                <w:i/>
                <w:iCs/>
                <w:sz w:val="20"/>
                <w:szCs w:val="20"/>
              </w:rPr>
            </w:pPr>
            <w:r w:rsidRPr="005945ED">
              <w:rPr>
                <w:rFonts w:ascii="Abel" w:hAnsi="Abel"/>
                <w:b/>
                <w:bCs/>
                <w:i/>
                <w:iCs/>
                <w:sz w:val="20"/>
                <w:szCs w:val="20"/>
              </w:rPr>
              <w:t>(Obs. As notas explicativas são meramente orientativas. Portanto, devem ser excluídas da lista de verificação a ser preenchida)</w:t>
            </w:r>
          </w:p>
          <w:p w:rsidR="00563DD0" w:rsidRPr="003E770E" w:rsidRDefault="00563DD0" w:rsidP="00563DD0">
            <w:pPr>
              <w:pStyle w:val="TableContents"/>
              <w:widowControl w:val="0"/>
              <w:numPr>
                <w:ilvl w:val="0"/>
                <w:numId w:val="1"/>
              </w:numPr>
              <w:shd w:val="clear" w:color="auto" w:fill="FFFF00"/>
              <w:spacing w:after="120" w:line="100" w:lineRule="atLeast"/>
              <w:jc w:val="both"/>
              <w:textAlignment w:val="auto"/>
              <w:rPr>
                <w:rFonts w:ascii="Abel" w:hAnsi="Abel"/>
                <w:i/>
                <w:iCs/>
              </w:rPr>
            </w:pPr>
            <w:r>
              <w:rPr>
                <w:rStyle w:val="Fontepargpadro1"/>
                <w:rFonts w:ascii="Abel" w:hAnsi="Abel"/>
                <w:b/>
                <w:bCs/>
                <w:i/>
                <w:iCs/>
                <w:sz w:val="20"/>
                <w:szCs w:val="20"/>
              </w:rPr>
              <w:t xml:space="preserve">15 - </w:t>
            </w:r>
            <w:r w:rsidRPr="003E770E">
              <w:rPr>
                <w:rStyle w:val="Fontepargpadro1"/>
                <w:rFonts w:ascii="Abel" w:hAnsi="Abel"/>
                <w:i/>
                <w:iCs/>
                <w:sz w:val="20"/>
                <w:szCs w:val="20"/>
              </w:rPr>
              <w:t xml:space="preserve">Esse documento tem a sua utilização restrita à Minuta de Termo Aditivo de Supressão Quantitativa de Objeto, para os fins previstos na </w:t>
            </w:r>
            <w:r w:rsidRPr="003E770E">
              <w:rPr>
                <w:rStyle w:val="Fontepargpadro1"/>
                <w:rFonts w:ascii="Abel" w:hAnsi="Abel"/>
                <w:b/>
                <w:bCs/>
                <w:i/>
                <w:iCs/>
                <w:sz w:val="20"/>
                <w:szCs w:val="20"/>
              </w:rPr>
              <w:t>Lei Estadual nº 20.170/2020</w:t>
            </w:r>
            <w:r w:rsidRPr="003E770E">
              <w:rPr>
                <w:rStyle w:val="Fontepargpadro1"/>
                <w:rFonts w:ascii="Abel" w:hAnsi="Abel"/>
                <w:i/>
                <w:iCs/>
                <w:sz w:val="20"/>
                <w:szCs w:val="20"/>
              </w:rPr>
              <w:t>, destinada aos contratos de prestação de serviços executados de forma contínua.</w:t>
            </w:r>
            <w:r w:rsidRPr="003E770E">
              <w:rPr>
                <w:rStyle w:val="Fontepargpadro1"/>
                <w:rFonts w:ascii="Abel" w:hAnsi="Abel"/>
                <w:i/>
                <w:iCs/>
                <w:sz w:val="20"/>
                <w:szCs w:val="20"/>
                <w:shd w:val="clear" w:color="auto" w:fill="FFFF00"/>
              </w:rPr>
              <w:t xml:space="preserve"> Trata-se de medida </w:t>
            </w:r>
            <w:r w:rsidRPr="003E770E">
              <w:rPr>
                <w:rStyle w:val="Fontepargpadro1"/>
                <w:rFonts w:ascii="Abel" w:hAnsi="Abel"/>
                <w:b/>
                <w:bCs/>
                <w:i/>
                <w:iCs/>
                <w:sz w:val="20"/>
                <w:szCs w:val="20"/>
                <w:shd w:val="clear" w:color="auto" w:fill="FFFF00"/>
              </w:rPr>
              <w:t>temporária</w:t>
            </w:r>
            <w:r w:rsidRPr="003E770E">
              <w:rPr>
                <w:rStyle w:val="Fontepargpadro1"/>
                <w:rFonts w:ascii="Abel" w:hAnsi="Abel"/>
                <w:i/>
                <w:iCs/>
                <w:sz w:val="20"/>
                <w:szCs w:val="20"/>
                <w:shd w:val="clear" w:color="auto" w:fill="FFFF00"/>
              </w:rPr>
              <w:t xml:space="preserve"> e de </w:t>
            </w:r>
            <w:r w:rsidRPr="003E770E">
              <w:rPr>
                <w:rStyle w:val="Fontepargpadro1"/>
                <w:rFonts w:ascii="Abel" w:hAnsi="Abel"/>
                <w:b/>
                <w:bCs/>
                <w:i/>
                <w:iCs/>
                <w:sz w:val="20"/>
                <w:szCs w:val="20"/>
                <w:shd w:val="clear" w:color="auto" w:fill="FFFF00"/>
              </w:rPr>
              <w:t>exceção</w:t>
            </w:r>
            <w:r w:rsidRPr="003E770E">
              <w:rPr>
                <w:rStyle w:val="Fontepargpadro1"/>
                <w:rFonts w:ascii="Abel" w:hAnsi="Abel"/>
                <w:i/>
                <w:iCs/>
                <w:sz w:val="20"/>
                <w:szCs w:val="20"/>
                <w:shd w:val="clear" w:color="auto" w:fill="FFFF00"/>
              </w:rPr>
              <w:t>, que depende de justificativa expressa, do atendimento dos requisitos previstos na lista de verificação e da aprovação da autoridade superior.</w:t>
            </w:r>
          </w:p>
          <w:p w:rsidR="00563DD0" w:rsidRPr="003E770E" w:rsidRDefault="00563DD0" w:rsidP="001B2147">
            <w:pPr>
              <w:pStyle w:val="Standard"/>
              <w:widowControl w:val="0"/>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16 - </w:t>
            </w:r>
            <w:r w:rsidRPr="003E770E">
              <w:rPr>
                <w:rStyle w:val="Fontepargpadro1"/>
                <w:rFonts w:ascii="Abel" w:hAnsi="Abel"/>
                <w:i/>
                <w:iCs/>
                <w:color w:val="000000"/>
              </w:rPr>
              <w:t>A minuta referida não poderá ser utilizada para serviços contínuos de engenharia.</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rPr>
              <w:t xml:space="preserve">17 - </w:t>
            </w:r>
            <w:r w:rsidRPr="003E770E">
              <w:rPr>
                <w:rStyle w:val="Fontepargpadro1"/>
                <w:rFonts w:ascii="Abel" w:hAnsi="Abel"/>
                <w:i/>
                <w:iCs/>
              </w:rPr>
              <w:t>O prazo de duração das supressões quantitativas decorrentes da Lei Estadual nº 20.170/2020 está limitado ao período referente ao estado de emergência nacional ocasionado pelo coronavírus responsável pelo surto de 2019. Ao final deste período deverá haver nova adequação contratual.</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18 - </w:t>
            </w:r>
            <w:r w:rsidRPr="003E770E">
              <w:rPr>
                <w:rStyle w:val="Fontepargpadro1"/>
                <w:rFonts w:ascii="Abel" w:hAnsi="Abel"/>
                <w:i/>
                <w:iCs/>
                <w:color w:val="000000"/>
              </w:rPr>
              <w:t>A Administração deverá verificar se o contrato está em vigor e, inclusive, se não houve quebra de continuidade nas eventuais prorrogações anteriores.</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19 - </w:t>
            </w:r>
            <w:r w:rsidRPr="003E770E">
              <w:rPr>
                <w:rStyle w:val="Fontepargpadro1"/>
                <w:rFonts w:ascii="Abel" w:hAnsi="Abel"/>
                <w:i/>
                <w:iCs/>
                <w:color w:val="000000"/>
              </w:rPr>
              <w:t>O Termo Aditivo deverá ser subscrito antes do encerramento do prazo de vigência do contrato.</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sidRPr="00F10CE5">
              <w:rPr>
                <w:rStyle w:val="Fontepargpadro1"/>
                <w:rFonts w:ascii="Abel" w:hAnsi="Abel"/>
                <w:b/>
                <w:bCs/>
                <w:i/>
                <w:iCs/>
                <w:color w:val="000000"/>
              </w:rPr>
              <w:t>20</w:t>
            </w:r>
            <w:r>
              <w:rPr>
                <w:rStyle w:val="Fontepargpadro1"/>
                <w:rFonts w:ascii="Abel" w:hAnsi="Abel"/>
                <w:i/>
                <w:iCs/>
                <w:color w:val="000000"/>
              </w:rPr>
              <w:t xml:space="preserve"> - </w:t>
            </w:r>
            <w:r w:rsidRPr="003E770E">
              <w:rPr>
                <w:rStyle w:val="Fontepargpadro1"/>
                <w:rFonts w:ascii="Abel" w:hAnsi="Abel"/>
                <w:i/>
                <w:iCs/>
                <w:color w:val="000000"/>
              </w:rPr>
              <w:t xml:space="preserve">A supressão quantitativa do objeto contratual, fundamentada no art. 112, § 1º, </w:t>
            </w:r>
            <w:r w:rsidRPr="003E770E">
              <w:rPr>
                <w:rStyle w:val="Fontepargpadro1"/>
                <w:rFonts w:ascii="Abel" w:hAnsi="Abel"/>
                <w:b/>
                <w:bCs/>
                <w:i/>
                <w:iCs/>
                <w:color w:val="000000"/>
              </w:rPr>
              <w:t>inciso II</w:t>
            </w:r>
            <w:r w:rsidRPr="003E770E">
              <w:rPr>
                <w:rStyle w:val="Fontepargpadro1"/>
                <w:rFonts w:ascii="Abel" w:hAnsi="Abel"/>
                <w:i/>
                <w:iCs/>
                <w:color w:val="000000"/>
              </w:rPr>
              <w:t>, da Lei Estadual nº 15.608/2007, deverá respeitar o limite de 25% (vinte e cinco por cento) do valor original atualizado do contrato, e poderá ser efetivada unilateralmente pela Administração Pública.</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21 - </w:t>
            </w:r>
            <w:r w:rsidRPr="003E770E">
              <w:rPr>
                <w:rStyle w:val="Fontepargpadro1"/>
                <w:rFonts w:ascii="Abel" w:hAnsi="Abel"/>
                <w:i/>
                <w:iCs/>
                <w:color w:val="000000"/>
              </w:rPr>
              <w:t xml:space="preserve">No cálculo do percentual de supressão quantitativa do objeto contratual deve ser observado o disposto no </w:t>
            </w:r>
            <w:r w:rsidRPr="003E770E">
              <w:rPr>
                <w:rStyle w:val="Fontepargpadro1"/>
                <w:rFonts w:ascii="Abel" w:hAnsi="Abel"/>
                <w:b/>
                <w:bCs/>
                <w:i/>
                <w:iCs/>
                <w:color w:val="000000"/>
              </w:rPr>
              <w:t>Enunciado nº 08 da PGE/PR</w:t>
            </w:r>
            <w:r w:rsidRPr="003E770E">
              <w:rPr>
                <w:rStyle w:val="Fontepargpadro1"/>
                <w:rFonts w:ascii="Abel" w:hAnsi="Abel"/>
                <w:i/>
                <w:iCs/>
                <w:color w:val="000000"/>
              </w:rPr>
              <w:t>: "Nos aditivos de contratos em que houver acréscimo e supressão de quantitativos de serviços, essas alterações devem ser separadamente consideradas. de modo que cada alteração deve ser calculada em relação ao valor original do contrato, aplicando-se a cada uma, individualmente considerada, os limites estabelecidos no art. 112, § 1°, da Lei n° 15.608/2007, sem nenhum tipo de compensação entre as alterações."</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22 - </w:t>
            </w:r>
            <w:r w:rsidRPr="003E770E">
              <w:rPr>
                <w:rStyle w:val="Fontepargpadro1"/>
                <w:rFonts w:ascii="Abel" w:hAnsi="Abel"/>
                <w:i/>
                <w:iCs/>
                <w:color w:val="000000"/>
              </w:rPr>
              <w:t xml:space="preserve">Na hipótese de supressão quantitativa do objeto contratual, com fundamento no art. 112, § 1º, </w:t>
            </w:r>
            <w:r w:rsidRPr="003E770E">
              <w:rPr>
                <w:rStyle w:val="Fontepargpadro1"/>
                <w:rFonts w:ascii="Abel" w:hAnsi="Abel"/>
                <w:b/>
                <w:bCs/>
                <w:i/>
                <w:iCs/>
                <w:color w:val="000000"/>
              </w:rPr>
              <w:t>inciso IV</w:t>
            </w:r>
            <w:r w:rsidRPr="003E770E">
              <w:rPr>
                <w:rStyle w:val="Fontepargpadro1"/>
                <w:rFonts w:ascii="Abel" w:hAnsi="Abel"/>
                <w:i/>
                <w:iCs/>
                <w:color w:val="000000"/>
              </w:rPr>
              <w:t xml:space="preserve">, da Lei Estadual nº 15.608/2007, o percentual de supressão poderá ultrapassar o limite de 25% (vinte e cinco por cento) do valor original atualizado do contrato, contudo será obrigatória a prévia e expressa concordância da Contratada, eis que referida hipótese legal pressupõe acordo entre as partes.   </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23 - </w:t>
            </w:r>
            <w:r w:rsidRPr="003E770E">
              <w:rPr>
                <w:rStyle w:val="Fontepargpadro1"/>
                <w:rFonts w:ascii="Abel" w:hAnsi="Abel"/>
                <w:i/>
                <w:iCs/>
                <w:color w:val="000000"/>
              </w:rPr>
              <w:t>A minuta não compreende o reajustamento e a repactuação, eis independem de Termo Aditivo, podendo ser registrados por simples apostila, nos termos do art. 108, § 3º, inc. II da Lei Estadual n.º 15.608/2007.</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24 - </w:t>
            </w:r>
            <w:r w:rsidRPr="003E770E">
              <w:rPr>
                <w:rStyle w:val="Fontepargpadro1"/>
                <w:rFonts w:ascii="Abel" w:hAnsi="Abel"/>
                <w:i/>
                <w:iCs/>
                <w:color w:val="000000"/>
              </w:rPr>
              <w:t>Deverá ser observada a competência do Sr.(a) Secretário de Administração e da Previdência para autorizar a despesa nas hipóteses elencadas nos incisos do art. 6º do Decreto Estadual n.º 4.189/2016.</w:t>
            </w:r>
          </w:p>
          <w:p w:rsidR="00563DD0" w:rsidRPr="003E770E" w:rsidRDefault="00563DD0" w:rsidP="00563DD0">
            <w:pPr>
              <w:pStyle w:val="Standard"/>
              <w:widowControl w:val="0"/>
              <w:numPr>
                <w:ilvl w:val="0"/>
                <w:numId w:val="2"/>
              </w:numPr>
              <w:shd w:val="clear" w:color="auto" w:fill="FFFF00"/>
              <w:spacing w:after="120" w:line="100" w:lineRule="atLeast"/>
              <w:ind w:left="0" w:right="0"/>
              <w:jc w:val="both"/>
              <w:textAlignment w:val="auto"/>
              <w:rPr>
                <w:rFonts w:ascii="Abel" w:hAnsi="Abel"/>
                <w:i/>
                <w:iCs/>
              </w:rPr>
            </w:pPr>
            <w:r>
              <w:rPr>
                <w:rStyle w:val="Fontepargpadro1"/>
                <w:rFonts w:ascii="Abel" w:hAnsi="Abel"/>
                <w:b/>
                <w:bCs/>
                <w:i/>
                <w:iCs/>
                <w:color w:val="000000"/>
              </w:rPr>
              <w:t xml:space="preserve">25 - </w:t>
            </w:r>
            <w:r w:rsidRPr="003E770E">
              <w:rPr>
                <w:rStyle w:val="Fontepargpadro1"/>
                <w:rFonts w:ascii="Abel" w:hAnsi="Abel"/>
                <w:i/>
                <w:iCs/>
                <w:color w:val="000000"/>
              </w:rPr>
              <w:t>As certidões de regularidade fiscal e trabalhista deverão estar vigentes na data da assinatura do Termo Aditivo.</w:t>
            </w:r>
          </w:p>
          <w:p w:rsidR="00563DD0" w:rsidRPr="003E770E" w:rsidRDefault="00563DD0" w:rsidP="00563DD0">
            <w:pPr>
              <w:pStyle w:val="Standard"/>
              <w:widowControl w:val="0"/>
              <w:numPr>
                <w:ilvl w:val="0"/>
                <w:numId w:val="2"/>
              </w:numPr>
              <w:shd w:val="clear" w:color="auto" w:fill="FFFF00"/>
              <w:tabs>
                <w:tab w:val="left" w:pos="0"/>
              </w:tabs>
              <w:spacing w:line="100" w:lineRule="atLeast"/>
              <w:ind w:left="0" w:right="0"/>
              <w:jc w:val="both"/>
              <w:textAlignment w:val="auto"/>
              <w:rPr>
                <w:rFonts w:ascii="Abel" w:hAnsi="Abel"/>
                <w:i/>
                <w:iCs/>
              </w:rPr>
            </w:pPr>
            <w:r>
              <w:rPr>
                <w:rStyle w:val="Fontepargpadro1"/>
                <w:rFonts w:ascii="Abel" w:hAnsi="Abel"/>
                <w:b/>
                <w:bCs/>
                <w:i/>
                <w:iCs/>
                <w:color w:val="000000"/>
                <w:shd w:val="clear" w:color="auto" w:fill="FFFF00"/>
              </w:rPr>
              <w:t xml:space="preserve">26 - </w:t>
            </w:r>
            <w:r w:rsidRPr="003E770E">
              <w:rPr>
                <w:rStyle w:val="Fontepargpadro1"/>
                <w:rFonts w:ascii="Abel" w:hAnsi="Abel"/>
                <w:i/>
                <w:iCs/>
                <w:color w:val="000000"/>
                <w:shd w:val="clear" w:color="auto" w:fill="FFFF00"/>
              </w:rPr>
              <w:t>A minuta de que trata esta lista de verificação não poderá incluir outros objetos além daquele definido na sua cláusula primeira.</w:t>
            </w:r>
          </w:p>
        </w:tc>
      </w:tr>
    </w:tbl>
    <w:p w:rsidR="00563DD0" w:rsidRPr="00557A4F" w:rsidRDefault="00563DD0" w:rsidP="00563DD0">
      <w:pPr>
        <w:pStyle w:val="Standard"/>
        <w:shd w:val="clear" w:color="auto" w:fill="FFFFFF"/>
        <w:tabs>
          <w:tab w:val="left" w:pos="284"/>
        </w:tabs>
        <w:spacing w:line="100" w:lineRule="atLeast"/>
        <w:jc w:val="both"/>
        <w:rPr>
          <w:rFonts w:ascii="Abel" w:eastAsia="Calibri" w:hAnsi="Abel" w:cs="Calibri"/>
        </w:rPr>
      </w:pPr>
    </w:p>
    <w:p w:rsidR="00563DD0" w:rsidRPr="00557A4F" w:rsidRDefault="00563DD0" w:rsidP="00563DD0">
      <w:pPr>
        <w:pStyle w:val="Standard"/>
        <w:tabs>
          <w:tab w:val="left" w:pos="284"/>
        </w:tabs>
        <w:spacing w:line="100" w:lineRule="atLeast"/>
        <w:jc w:val="both"/>
        <w:rPr>
          <w:rFonts w:ascii="Abel" w:eastAsia="Arial" w:hAnsi="Abel" w:cs="Arial"/>
        </w:rPr>
      </w:pPr>
    </w:p>
    <w:tbl>
      <w:tblPr>
        <w:tblW w:w="9300" w:type="dxa"/>
        <w:tblInd w:w="-14" w:type="dxa"/>
        <w:tblLayout w:type="fixed"/>
        <w:tblCellMar>
          <w:left w:w="10" w:type="dxa"/>
          <w:right w:w="10" w:type="dxa"/>
        </w:tblCellMar>
        <w:tblLook w:val="04A0" w:firstRow="1" w:lastRow="0" w:firstColumn="1" w:lastColumn="0" w:noHBand="0" w:noVBand="1"/>
      </w:tblPr>
      <w:tblGrid>
        <w:gridCol w:w="4585"/>
        <w:gridCol w:w="139"/>
        <w:gridCol w:w="4576"/>
      </w:tblGrid>
      <w:tr w:rsidR="00563DD0" w:rsidRPr="00557A4F" w:rsidTr="001B2147">
        <w:trPr>
          <w:trHeight w:val="283"/>
        </w:trPr>
        <w:tc>
          <w:tcPr>
            <w:tcW w:w="4582" w:type="dxa"/>
            <w:tcMar>
              <w:top w:w="0" w:type="dxa"/>
              <w:left w:w="28" w:type="dxa"/>
              <w:bottom w:w="0" w:type="dxa"/>
              <w:right w:w="28" w:type="dxa"/>
            </w:tcMar>
            <w:vAlign w:val="bottom"/>
            <w:hideMark/>
          </w:tcPr>
          <w:p w:rsidR="00563DD0" w:rsidRPr="00557A4F" w:rsidRDefault="00563DD0" w:rsidP="001B2147">
            <w:pPr>
              <w:pStyle w:val="Standard"/>
              <w:spacing w:line="100" w:lineRule="atLeast"/>
              <w:jc w:val="center"/>
              <w:rPr>
                <w:rFonts w:ascii="Abel" w:hAnsi="Abel"/>
              </w:rPr>
            </w:pPr>
            <w:r w:rsidRPr="00557A4F">
              <w:rPr>
                <w:rFonts w:ascii="Abel" w:hAnsi="Abel"/>
              </w:rPr>
              <w:t xml:space="preserve">_________________, ___ de ________ </w:t>
            </w:r>
            <w:proofErr w:type="spellStart"/>
            <w:r w:rsidRPr="00557A4F">
              <w:rPr>
                <w:rFonts w:ascii="Abel" w:hAnsi="Abel"/>
              </w:rPr>
              <w:t>de</w:t>
            </w:r>
            <w:proofErr w:type="spellEnd"/>
            <w:r w:rsidRPr="00557A4F">
              <w:rPr>
                <w:rFonts w:ascii="Abel" w:hAnsi="Abel"/>
              </w:rPr>
              <w:t xml:space="preserve"> _____.</w:t>
            </w:r>
          </w:p>
        </w:tc>
        <w:tc>
          <w:tcPr>
            <w:tcW w:w="139" w:type="dxa"/>
            <w:tcMar>
              <w:top w:w="0" w:type="dxa"/>
              <w:left w:w="28" w:type="dxa"/>
              <w:bottom w:w="0" w:type="dxa"/>
              <w:right w:w="28" w:type="dxa"/>
            </w:tcMar>
            <w:vAlign w:val="bottom"/>
          </w:tcPr>
          <w:p w:rsidR="00563DD0" w:rsidRPr="00557A4F" w:rsidRDefault="00563DD0" w:rsidP="001B2147">
            <w:pPr>
              <w:pStyle w:val="Standard"/>
              <w:snapToGrid w:val="0"/>
              <w:spacing w:line="100" w:lineRule="atLeast"/>
              <w:jc w:val="center"/>
              <w:rPr>
                <w:rFonts w:ascii="Abel" w:hAnsi="Abel"/>
              </w:rPr>
            </w:pPr>
          </w:p>
        </w:tc>
        <w:tc>
          <w:tcPr>
            <w:tcW w:w="4574" w:type="dxa"/>
            <w:tcMar>
              <w:top w:w="0" w:type="dxa"/>
              <w:left w:w="28" w:type="dxa"/>
              <w:bottom w:w="0" w:type="dxa"/>
              <w:right w:w="28" w:type="dxa"/>
            </w:tcMar>
            <w:vAlign w:val="bottom"/>
            <w:hideMark/>
          </w:tcPr>
          <w:p w:rsidR="00563DD0" w:rsidRPr="00557A4F" w:rsidRDefault="00563DD0" w:rsidP="001B2147">
            <w:pPr>
              <w:pStyle w:val="Standard"/>
              <w:spacing w:line="100" w:lineRule="atLeast"/>
              <w:ind w:left="17"/>
              <w:jc w:val="center"/>
              <w:rPr>
                <w:rFonts w:ascii="Abel" w:hAnsi="Abel"/>
              </w:rPr>
            </w:pPr>
            <w:r w:rsidRPr="00557A4F">
              <w:rPr>
                <w:rFonts w:ascii="Abel" w:hAnsi="Abel"/>
              </w:rPr>
              <w:t xml:space="preserve">________________, ___ de ________ </w:t>
            </w:r>
            <w:proofErr w:type="spellStart"/>
            <w:r w:rsidRPr="00557A4F">
              <w:rPr>
                <w:rFonts w:ascii="Abel" w:hAnsi="Abel"/>
              </w:rPr>
              <w:t>de</w:t>
            </w:r>
            <w:proofErr w:type="spellEnd"/>
            <w:r w:rsidRPr="00557A4F">
              <w:rPr>
                <w:rFonts w:ascii="Abel" w:hAnsi="Abel"/>
              </w:rPr>
              <w:t xml:space="preserve"> _____.</w:t>
            </w:r>
          </w:p>
        </w:tc>
      </w:tr>
      <w:tr w:rsidR="00563DD0" w:rsidRPr="00557A4F" w:rsidTr="001B2147">
        <w:trPr>
          <w:trHeight w:val="521"/>
        </w:trPr>
        <w:tc>
          <w:tcPr>
            <w:tcW w:w="4582" w:type="dxa"/>
            <w:tcBorders>
              <w:top w:val="nil"/>
              <w:left w:val="nil"/>
              <w:bottom w:val="single" w:sz="4" w:space="0" w:color="000000"/>
              <w:right w:val="nil"/>
            </w:tcBorders>
            <w:tcMar>
              <w:top w:w="0" w:type="dxa"/>
              <w:left w:w="28" w:type="dxa"/>
              <w:bottom w:w="0" w:type="dxa"/>
              <w:right w:w="28" w:type="dxa"/>
            </w:tcMar>
          </w:tcPr>
          <w:p w:rsidR="00563DD0" w:rsidRPr="00557A4F" w:rsidRDefault="00563DD0" w:rsidP="001B2147">
            <w:pPr>
              <w:pStyle w:val="Standard"/>
              <w:spacing w:line="100" w:lineRule="atLeast"/>
              <w:ind w:left="850"/>
              <w:rPr>
                <w:rFonts w:ascii="Abel" w:hAnsi="Abel"/>
                <w:sz w:val="16"/>
                <w:szCs w:val="16"/>
              </w:rPr>
            </w:pPr>
            <w:r w:rsidRPr="00557A4F">
              <w:rPr>
                <w:rFonts w:ascii="Abel" w:hAnsi="Abel"/>
                <w:sz w:val="16"/>
                <w:szCs w:val="16"/>
              </w:rPr>
              <w:t>(local)</w:t>
            </w:r>
          </w:p>
          <w:p w:rsidR="00563DD0" w:rsidRPr="00557A4F" w:rsidRDefault="00563DD0" w:rsidP="001B2147">
            <w:pPr>
              <w:pStyle w:val="Standard"/>
              <w:spacing w:line="100" w:lineRule="atLeast"/>
              <w:ind w:left="850"/>
              <w:rPr>
                <w:rFonts w:ascii="Abel" w:hAnsi="Abel"/>
                <w:sz w:val="16"/>
                <w:szCs w:val="16"/>
              </w:rPr>
            </w:pPr>
          </w:p>
          <w:p w:rsidR="00563DD0" w:rsidRPr="00557A4F" w:rsidRDefault="00563DD0" w:rsidP="001B2147">
            <w:pPr>
              <w:pStyle w:val="Standard"/>
              <w:spacing w:line="100" w:lineRule="atLeast"/>
              <w:ind w:left="850"/>
              <w:rPr>
                <w:rFonts w:ascii="Abel" w:hAnsi="Abel"/>
                <w:sz w:val="16"/>
                <w:szCs w:val="16"/>
              </w:rPr>
            </w:pPr>
          </w:p>
        </w:tc>
        <w:tc>
          <w:tcPr>
            <w:tcW w:w="139" w:type="dxa"/>
            <w:tcMar>
              <w:top w:w="0" w:type="dxa"/>
              <w:left w:w="28" w:type="dxa"/>
              <w:bottom w:w="0" w:type="dxa"/>
              <w:right w:w="28" w:type="dxa"/>
            </w:tcMar>
          </w:tcPr>
          <w:p w:rsidR="00563DD0" w:rsidRPr="00557A4F" w:rsidRDefault="00563DD0" w:rsidP="001B2147">
            <w:pPr>
              <w:pStyle w:val="Standard"/>
              <w:snapToGrid w:val="0"/>
              <w:spacing w:line="100" w:lineRule="atLeast"/>
              <w:rPr>
                <w:rFonts w:ascii="Abel" w:hAnsi="Abel"/>
                <w:sz w:val="24"/>
                <w:szCs w:val="24"/>
              </w:rPr>
            </w:pPr>
          </w:p>
        </w:tc>
        <w:tc>
          <w:tcPr>
            <w:tcW w:w="4574" w:type="dxa"/>
            <w:tcBorders>
              <w:top w:val="nil"/>
              <w:left w:val="nil"/>
              <w:bottom w:val="single" w:sz="4" w:space="0" w:color="000000"/>
              <w:right w:val="nil"/>
            </w:tcBorders>
            <w:tcMar>
              <w:top w:w="0" w:type="dxa"/>
              <w:left w:w="28" w:type="dxa"/>
              <w:bottom w:w="0" w:type="dxa"/>
              <w:right w:w="28" w:type="dxa"/>
            </w:tcMar>
            <w:hideMark/>
          </w:tcPr>
          <w:p w:rsidR="00563DD0" w:rsidRPr="00557A4F" w:rsidRDefault="00563DD0" w:rsidP="001B2147">
            <w:pPr>
              <w:pStyle w:val="Standard"/>
              <w:spacing w:line="100" w:lineRule="atLeast"/>
              <w:ind w:left="-2608"/>
              <w:jc w:val="center"/>
              <w:rPr>
                <w:rFonts w:ascii="Abel" w:hAnsi="Abel"/>
                <w:sz w:val="16"/>
              </w:rPr>
            </w:pPr>
            <w:r w:rsidRPr="00557A4F">
              <w:rPr>
                <w:rFonts w:ascii="Abel" w:hAnsi="Abel"/>
                <w:sz w:val="16"/>
              </w:rPr>
              <w:t>(local)</w:t>
            </w:r>
          </w:p>
        </w:tc>
      </w:tr>
      <w:tr w:rsidR="00563DD0" w:rsidRPr="00557A4F" w:rsidTr="001B2147">
        <w:trPr>
          <w:trHeight w:val="538"/>
        </w:trPr>
        <w:tc>
          <w:tcPr>
            <w:tcW w:w="4582" w:type="dxa"/>
            <w:tcBorders>
              <w:top w:val="single" w:sz="4" w:space="0" w:color="000000"/>
              <w:left w:val="nil"/>
              <w:bottom w:val="nil"/>
              <w:right w:val="nil"/>
            </w:tcBorders>
            <w:tcMar>
              <w:top w:w="0" w:type="dxa"/>
              <w:left w:w="28" w:type="dxa"/>
              <w:bottom w:w="0" w:type="dxa"/>
              <w:right w:w="28" w:type="dxa"/>
            </w:tcMar>
          </w:tcPr>
          <w:p w:rsidR="00563DD0" w:rsidRPr="00557A4F" w:rsidRDefault="00563DD0" w:rsidP="001B2147">
            <w:pPr>
              <w:pStyle w:val="Standard"/>
              <w:spacing w:line="100" w:lineRule="atLeast"/>
              <w:jc w:val="center"/>
              <w:rPr>
                <w:rFonts w:ascii="Abel" w:hAnsi="Abel"/>
                <w:shd w:val="clear" w:color="auto" w:fill="FFFF00"/>
              </w:rPr>
            </w:pPr>
            <w:r w:rsidRPr="00557A4F">
              <w:rPr>
                <w:rFonts w:ascii="Abel" w:hAnsi="Abel"/>
                <w:shd w:val="clear" w:color="auto" w:fill="FFFF00"/>
              </w:rPr>
              <w:lastRenderedPageBreak/>
              <w:t>[Nome e assinatura do servidor responsável pelo preenchimento]</w:t>
            </w:r>
          </w:p>
          <w:p w:rsidR="00563DD0" w:rsidRPr="00557A4F" w:rsidRDefault="00563DD0" w:rsidP="001B2147">
            <w:pPr>
              <w:pStyle w:val="Standard"/>
              <w:spacing w:line="100" w:lineRule="atLeast"/>
              <w:rPr>
                <w:rFonts w:ascii="Abel" w:hAnsi="Abel"/>
                <w:sz w:val="24"/>
                <w:szCs w:val="24"/>
              </w:rPr>
            </w:pPr>
          </w:p>
        </w:tc>
        <w:tc>
          <w:tcPr>
            <w:tcW w:w="139" w:type="dxa"/>
            <w:tcMar>
              <w:top w:w="0" w:type="dxa"/>
              <w:left w:w="28" w:type="dxa"/>
              <w:bottom w:w="0" w:type="dxa"/>
              <w:right w:w="28" w:type="dxa"/>
            </w:tcMar>
          </w:tcPr>
          <w:p w:rsidR="00563DD0" w:rsidRPr="00557A4F" w:rsidRDefault="00563DD0" w:rsidP="001B2147">
            <w:pPr>
              <w:pStyle w:val="Standard"/>
              <w:snapToGrid w:val="0"/>
              <w:spacing w:line="100" w:lineRule="atLeast"/>
              <w:jc w:val="center"/>
              <w:rPr>
                <w:rFonts w:ascii="Abel" w:hAnsi="Abel"/>
              </w:rPr>
            </w:pPr>
          </w:p>
          <w:p w:rsidR="00563DD0" w:rsidRPr="00557A4F" w:rsidRDefault="00563DD0" w:rsidP="001B2147">
            <w:pPr>
              <w:pStyle w:val="Standard"/>
              <w:spacing w:line="100" w:lineRule="atLeast"/>
              <w:rPr>
                <w:rFonts w:ascii="Abel" w:hAnsi="Abel"/>
              </w:rPr>
            </w:pPr>
          </w:p>
        </w:tc>
        <w:tc>
          <w:tcPr>
            <w:tcW w:w="4574" w:type="dxa"/>
            <w:tcBorders>
              <w:top w:val="single" w:sz="4" w:space="0" w:color="000000"/>
              <w:left w:val="nil"/>
              <w:bottom w:val="nil"/>
              <w:right w:val="nil"/>
            </w:tcBorders>
            <w:tcMar>
              <w:top w:w="0" w:type="dxa"/>
              <w:left w:w="28" w:type="dxa"/>
              <w:bottom w:w="0" w:type="dxa"/>
              <w:right w:w="28" w:type="dxa"/>
            </w:tcMar>
          </w:tcPr>
          <w:p w:rsidR="00563DD0" w:rsidRPr="00557A4F" w:rsidRDefault="00563DD0" w:rsidP="001B2147">
            <w:pPr>
              <w:pStyle w:val="Standard"/>
              <w:spacing w:line="100" w:lineRule="atLeast"/>
              <w:jc w:val="center"/>
              <w:rPr>
                <w:rFonts w:ascii="Abel" w:hAnsi="Abel"/>
                <w:shd w:val="clear" w:color="auto" w:fill="FFFF00"/>
              </w:rPr>
            </w:pPr>
            <w:r w:rsidRPr="00557A4F">
              <w:rPr>
                <w:rFonts w:ascii="Abel" w:hAnsi="Abel"/>
                <w:shd w:val="clear" w:color="auto" w:fill="FFFF00"/>
              </w:rPr>
              <w:t>[Nome e assinatura do chefe do setor</w:t>
            </w:r>
          </w:p>
          <w:p w:rsidR="00563DD0" w:rsidRPr="00557A4F" w:rsidRDefault="00563DD0" w:rsidP="001B2147">
            <w:pPr>
              <w:pStyle w:val="Standard"/>
              <w:spacing w:line="100" w:lineRule="atLeast"/>
              <w:jc w:val="center"/>
              <w:rPr>
                <w:rFonts w:ascii="Abel" w:hAnsi="Abel"/>
                <w:shd w:val="clear" w:color="auto" w:fill="FFFF00"/>
              </w:rPr>
            </w:pPr>
            <w:r w:rsidRPr="00557A4F">
              <w:rPr>
                <w:rFonts w:ascii="Abel" w:hAnsi="Abel"/>
                <w:shd w:val="clear" w:color="auto" w:fill="FFFF00"/>
              </w:rPr>
              <w:t>competente]</w:t>
            </w:r>
          </w:p>
          <w:p w:rsidR="00563DD0" w:rsidRPr="00557A4F" w:rsidRDefault="00563DD0" w:rsidP="001B2147">
            <w:pPr>
              <w:pStyle w:val="Standard"/>
              <w:spacing w:line="100" w:lineRule="atLeast"/>
              <w:rPr>
                <w:rFonts w:ascii="Abel" w:hAnsi="Abel"/>
                <w:sz w:val="24"/>
                <w:szCs w:val="24"/>
              </w:rPr>
            </w:pPr>
          </w:p>
        </w:tc>
      </w:tr>
    </w:tbl>
    <w:p w:rsidR="00563DD0" w:rsidRPr="00557A4F" w:rsidRDefault="00563DD0" w:rsidP="00563DD0">
      <w:pPr>
        <w:pStyle w:val="Standard"/>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jc w:val="center"/>
        <w:rPr>
          <w:rFonts w:ascii="Abel" w:hAnsi="Abel" w:cs="Times New Roman"/>
        </w:rPr>
      </w:pPr>
    </w:p>
    <w:p w:rsidR="00DC684B" w:rsidRDefault="00DC684B"/>
    <w:sectPr w:rsidR="00DC6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20000A85" w:usb1="00000000" w:usb2="00000000" w:usb3="00000000" w:csb0="000001BE"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roman"/>
    <w:pitch w:val="variable"/>
  </w:font>
  <w:font w:name="Mangal">
    <w:panose1 w:val="00000400000000000000"/>
    <w:charset w:val="00"/>
    <w:family w:val="roman"/>
    <w:pitch w:val="variable"/>
    <w:sig w:usb0="00008003" w:usb1="00000000" w:usb2="00000000" w:usb3="00000000" w:csb0="00000001"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5FC8"/>
    <w:multiLevelType w:val="hybridMultilevel"/>
    <w:tmpl w:val="A27AC188"/>
    <w:lvl w:ilvl="0" w:tplc="04160001">
      <w:start w:val="1"/>
      <w:numFmt w:val="bullet"/>
      <w:lvlText w:val=""/>
      <w:lvlJc w:val="left"/>
      <w:pPr>
        <w:ind w:left="2279" w:hanging="360"/>
      </w:pPr>
      <w:rPr>
        <w:rFonts w:ascii="Symbol" w:hAnsi="Symbol"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D0"/>
    <w:rsid w:val="0035265D"/>
    <w:rsid w:val="004A7DCA"/>
    <w:rsid w:val="00563DD0"/>
    <w:rsid w:val="00976DCB"/>
    <w:rsid w:val="00DC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FFFAF-1501-4F82-9CF6-3A4E0AAE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D0"/>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63DD0"/>
    <w:pPr>
      <w:suppressAutoHyphens/>
      <w:autoSpaceDN w:val="0"/>
      <w:spacing w:after="0" w:line="240" w:lineRule="auto"/>
      <w:ind w:left="113" w:right="113"/>
      <w:textAlignment w:val="baseline"/>
    </w:pPr>
    <w:rPr>
      <w:rFonts w:ascii="Times New Roman" w:eastAsia="Times New Roman" w:hAnsi="Times New Roman" w:cs="Trebuchet MS"/>
      <w:kern w:val="3"/>
      <w:sz w:val="20"/>
      <w:szCs w:val="20"/>
      <w:lang w:eastAsia="zh-CN" w:bidi="hi-IN"/>
    </w:rPr>
  </w:style>
  <w:style w:type="character" w:customStyle="1" w:styleId="Fontepargpadro1">
    <w:name w:val="Fonte parág. padrão1"/>
    <w:qFormat/>
    <w:rsid w:val="00563DD0"/>
  </w:style>
  <w:style w:type="paragraph" w:customStyle="1" w:styleId="TableContents">
    <w:name w:val="Table Contents"/>
    <w:basedOn w:val="Standard"/>
    <w:rsid w:val="00563DD0"/>
    <w:pPr>
      <w:suppressLineNumbers/>
      <w:ind w:left="0" w:right="0"/>
    </w:pPr>
    <w:rPr>
      <w:rFonts w:ascii="Liberation Serif" w:eastAsia="SimSun" w:hAnsi="Liberation Serif" w:cs="Arial"/>
      <w:sz w:val="24"/>
      <w:szCs w:val="24"/>
    </w:rPr>
  </w:style>
  <w:style w:type="paragraph" w:customStyle="1" w:styleId="Textbody">
    <w:name w:val="Text body"/>
    <w:basedOn w:val="Normal"/>
    <w:rsid w:val="00563DD0"/>
    <w:pPr>
      <w:widowControl/>
      <w:suppressAutoHyphens/>
      <w:autoSpaceDE/>
      <w:spacing w:after="140" w:line="288" w:lineRule="auto"/>
    </w:pPr>
    <w:rPr>
      <w:rFonts w:ascii="Myriad Pro" w:eastAsia="SimSun" w:hAnsi="Myriad Pro"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5719</Characters>
  <Application>Microsoft Office Word</Application>
  <DocSecurity>0</DocSecurity>
  <Lines>47</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cp:keywords/>
  <dc:description/>
  <cp:lastModifiedBy>hamilton bonatto</cp:lastModifiedBy>
  <cp:revision>1</cp:revision>
  <dcterms:created xsi:type="dcterms:W3CDTF">2020-04-12T18:59:00Z</dcterms:created>
  <dcterms:modified xsi:type="dcterms:W3CDTF">2020-04-12T19:01:00Z</dcterms:modified>
</cp:coreProperties>
</file>